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9"/>
        <w:rPr>
          <w:rFonts w:ascii="方正小标宋简体" w:hAnsi="宋体" w:eastAsia="方正小标宋简体"/>
          <w:color w:val="auto"/>
          <w:sz w:val="21"/>
          <w:szCs w:val="21"/>
          <w:highlight w:val="none"/>
        </w:rPr>
      </w:pPr>
      <w:bookmarkStart w:id="0" w:name="_Toc15306267"/>
    </w:p>
    <w:p>
      <w:pPr>
        <w:spacing w:line="600" w:lineRule="exact"/>
        <w:jc w:val="center"/>
        <w:outlineLvl w:val="9"/>
        <w:rPr>
          <w:rFonts w:ascii="方正小标宋简体" w:hAnsi="宋体" w:eastAsia="方正小标宋简体"/>
          <w:color w:val="auto"/>
          <w:sz w:val="72"/>
          <w:szCs w:val="72"/>
          <w:highlight w:val="none"/>
        </w:rPr>
      </w:pPr>
    </w:p>
    <w:p>
      <w:pPr>
        <w:spacing w:line="600" w:lineRule="exact"/>
        <w:jc w:val="center"/>
        <w:outlineLvl w:val="9"/>
        <w:rPr>
          <w:rFonts w:ascii="方正小标宋简体" w:hAnsi="宋体" w:eastAsia="方正小标宋简体"/>
          <w:color w:val="auto"/>
          <w:sz w:val="72"/>
          <w:szCs w:val="72"/>
          <w:highlight w:val="none"/>
        </w:rPr>
      </w:pPr>
    </w:p>
    <w:p>
      <w:pPr>
        <w:pStyle w:val="8"/>
        <w:keepNext w:val="0"/>
        <w:keepLines w:val="0"/>
        <w:pageBreakBefore w:val="0"/>
        <w:widowControl w:val="0"/>
        <w:suppressAutoHyphens/>
        <w:kinsoku/>
        <w:wordWrap/>
        <w:overflowPunct/>
        <w:topLinePunct w:val="0"/>
        <w:autoSpaceDE/>
        <w:autoSpaceDN/>
        <w:bidi w:val="0"/>
        <w:adjustRightInd/>
        <w:snapToGrid/>
        <w:spacing w:before="0" w:beforeLines="-2147483648" w:after="140" w:line="660" w:lineRule="exact"/>
        <w:jc w:val="center"/>
        <w:textAlignment w:val="auto"/>
        <w:rPr>
          <w:rFonts w:hint="eastAsia" w:ascii="方正小标宋简体" w:hAnsi="方正小标宋简体" w:eastAsia="方正小标宋简体" w:cs="方正小标宋简体"/>
          <w:color w:val="auto"/>
          <w:kern w:val="2"/>
          <w:sz w:val="44"/>
          <w:szCs w:val="44"/>
        </w:rPr>
      </w:pPr>
      <w:bookmarkStart w:id="1" w:name="_Toc15378441"/>
      <w:bookmarkStart w:id="2" w:name="_Toc15377193"/>
      <w:bookmarkStart w:id="3" w:name="_Toc15377425"/>
      <w:bookmarkStart w:id="4" w:name="_Toc15396475"/>
      <w:bookmarkStart w:id="5" w:name="_Toc19257"/>
      <w:bookmarkStart w:id="6" w:name="_Toc15396597"/>
      <w:r>
        <w:rPr>
          <w:rFonts w:hint="eastAsia" w:ascii="方正小标宋简体" w:hAnsi="方正小标宋简体" w:eastAsia="方正小标宋简体" w:cs="方正小标宋简体"/>
          <w:color w:val="auto"/>
          <w:kern w:val="2"/>
          <w:sz w:val="44"/>
          <w:szCs w:val="44"/>
        </w:rPr>
        <w:t>20</w:t>
      </w:r>
      <w:r>
        <w:rPr>
          <w:rFonts w:hint="eastAsia" w:ascii="方正小标宋简体" w:hAnsi="方正小标宋简体" w:eastAsia="方正小标宋简体" w:cs="方正小标宋简体"/>
          <w:color w:val="auto"/>
          <w:kern w:val="2"/>
          <w:sz w:val="44"/>
          <w:szCs w:val="44"/>
          <w:lang w:val="en-US" w:eastAsia="zh-CN"/>
        </w:rPr>
        <w:t>25</w:t>
      </w:r>
      <w:r>
        <w:rPr>
          <w:rFonts w:hint="eastAsia" w:ascii="方正小标宋简体" w:hAnsi="方正小标宋简体" w:eastAsia="方正小标宋简体" w:cs="方正小标宋简体"/>
          <w:color w:val="auto"/>
          <w:kern w:val="2"/>
          <w:sz w:val="44"/>
          <w:szCs w:val="44"/>
        </w:rPr>
        <w:t>年度</w:t>
      </w:r>
      <w:bookmarkEnd w:id="1"/>
      <w:bookmarkEnd w:id="2"/>
      <w:bookmarkEnd w:id="3"/>
      <w:bookmarkEnd w:id="4"/>
      <w:bookmarkEnd w:id="5"/>
      <w:bookmarkEnd w:id="6"/>
    </w:p>
    <w:bookmarkEnd w:id="0"/>
    <w:p>
      <w:pPr>
        <w:pStyle w:val="8"/>
        <w:jc w:val="center"/>
        <w:rPr>
          <w:rFonts w:hint="eastAsia" w:ascii="方正小标宋简体" w:hAnsi="宋体" w:eastAsia="方正小标宋简体"/>
          <w:sz w:val="44"/>
          <w:szCs w:val="44"/>
        </w:rPr>
      </w:pPr>
      <w:bookmarkStart w:id="7" w:name="_Toc15306268"/>
      <w:r>
        <w:rPr>
          <w:rFonts w:hint="eastAsia" w:ascii="方正小标宋简体" w:hAnsi="宋体" w:eastAsia="方正小标宋简体"/>
          <w:sz w:val="44"/>
          <w:szCs w:val="44"/>
          <w:lang w:eastAsia="zh-CN"/>
        </w:rPr>
        <w:t>四川省宜宾市第三中医医院</w:t>
      </w:r>
      <w:r>
        <w:rPr>
          <w:rFonts w:hint="eastAsia" w:ascii="方正小标宋简体" w:hAnsi="宋体" w:eastAsia="方正小标宋简体"/>
          <w:sz w:val="44"/>
          <w:szCs w:val="44"/>
        </w:rPr>
        <w:t>决算</w:t>
      </w:r>
      <w:bookmarkEnd w:id="7"/>
    </w:p>
    <w:p>
      <w:pPr>
        <w:widowControl/>
        <w:jc w:val="center"/>
        <w:rPr>
          <w:rFonts w:ascii="黑体" w:hAnsi="黑体" w:eastAsia="黑体"/>
          <w:color w:val="auto"/>
          <w:sz w:val="44"/>
          <w:szCs w:val="44"/>
          <w:highlight w:val="none"/>
        </w:rPr>
      </w:pPr>
      <w:r>
        <w:rPr>
          <w:rFonts w:ascii="方正小标宋简体" w:hAnsi="宋体" w:eastAsia="方正小标宋简体"/>
          <w:color w:val="auto"/>
          <w:sz w:val="36"/>
          <w:szCs w:val="36"/>
          <w:highlight w:val="none"/>
        </w:rPr>
        <w:br w:type="page"/>
      </w:r>
      <w:bookmarkStart w:id="98" w:name="_GoBack"/>
      <w:bookmarkEnd w:id="98"/>
      <w:r>
        <w:rPr>
          <w:rFonts w:hint="eastAsia" w:ascii="黑体" w:hAnsi="黑体" w:eastAsia="黑体"/>
          <w:color w:val="auto"/>
          <w:sz w:val="44"/>
          <w:szCs w:val="44"/>
          <w:highlight w:val="none"/>
        </w:rPr>
        <w:t>目录</w:t>
      </w:r>
    </w:p>
    <w:p>
      <w:pPr>
        <w:widowControl/>
        <w:jc w:val="center"/>
        <w:rPr>
          <w:rFonts w:ascii="黑体" w:hAnsi="黑体" w:eastAsia="黑体" w:cstheme="minorBidi"/>
          <w:color w:val="auto"/>
          <w:sz w:val="28"/>
          <w:szCs w:val="28"/>
          <w:highlight w:val="none"/>
        </w:rPr>
      </w:pPr>
    </w:p>
    <w:p>
      <w:pPr>
        <w:pStyle w:val="11"/>
        <w:rPr>
          <w:color w:val="auto"/>
          <w:highlight w:val="none"/>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 xml:space="preserve"> 10</w:t>
      </w:r>
      <w:r>
        <w:rPr>
          <w:rFonts w:hint="eastAsia"/>
          <w:color w:val="auto"/>
          <w:highlight w:val="none"/>
        </w:rPr>
        <w:t>月</w:t>
      </w:r>
      <w:r>
        <w:rPr>
          <w:rFonts w:hint="eastAsia"/>
          <w:color w:val="auto"/>
          <w:highlight w:val="none"/>
          <w:lang w:val="en-US" w:eastAsia="zh-CN"/>
        </w:rPr>
        <w:t xml:space="preserve">16 </w:t>
      </w:r>
      <w:r>
        <w:rPr>
          <w:rFonts w:hint="eastAsia"/>
          <w:color w:val="auto"/>
          <w:highlight w:val="none"/>
        </w:rPr>
        <w:t>日</w:t>
      </w:r>
    </w:p>
    <w:p>
      <w:pPr>
        <w:rPr>
          <w:color w:val="auto"/>
          <w:highlight w:val="none"/>
        </w:rPr>
      </w:pPr>
    </w:p>
    <w:sdt>
      <w:sdtPr>
        <w:rPr>
          <w:rFonts w:ascii="宋体" w:hAnsi="宋体" w:eastAsia="宋体" w:cs="Times New Roman"/>
          <w:b w:val="0"/>
          <w:bCs w:val="0"/>
          <w:color w:val="auto"/>
          <w:kern w:val="2"/>
          <w:sz w:val="21"/>
          <w:szCs w:val="24"/>
          <w:lang w:val="en-US" w:eastAsia="zh-CN" w:bidi="ar-SA"/>
        </w:rPr>
        <w:id w:val="147457243"/>
        <w15:color w:val="DBDBDB"/>
        <w:docPartObj>
          <w:docPartGallery w:val="Table of Contents"/>
          <w:docPartUnique/>
        </w:docPartObj>
      </w:sdtPr>
      <w:sdtEndPr>
        <w:rPr>
          <w:rFonts w:hint="eastAsia" w:ascii="Times New Roman" w:hAnsi="Times New Roman" w:eastAsia="宋体" w:cs="Times New Roman"/>
          <w:b/>
          <w:bCs w:val="0"/>
          <w:color w:val="auto"/>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TOC \o "1-2" \h \u </w:instrText>
          </w:r>
          <w:r>
            <w:rPr>
              <w:rFonts w:hint="eastAsia"/>
              <w:b w:val="0"/>
              <w:bCs w:val="0"/>
              <w:color w:val="auto"/>
              <w:sz w:val="32"/>
              <w:szCs w:val="32"/>
              <w:lang w:eastAsia="zh-CN"/>
            </w:rPr>
            <w:fldChar w:fldCharType="separate"/>
          </w:r>
        </w:p>
        <w:p>
          <w:pPr>
            <w:pStyle w:val="20"/>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_Toc9025 </w:instrText>
          </w:r>
          <w:r>
            <w:rPr>
              <w:rFonts w:hint="eastAsia"/>
              <w:b w:val="0"/>
              <w:bCs w:val="0"/>
              <w:color w:val="auto"/>
              <w:sz w:val="32"/>
              <w:szCs w:val="32"/>
              <w:lang w:eastAsia="zh-CN"/>
            </w:rPr>
            <w:fldChar w:fldCharType="separate"/>
          </w:r>
          <w:r>
            <w:rPr>
              <w:rFonts w:hint="eastAsia" w:ascii="黑体" w:hAnsi="黑体" w:eastAsia="黑体"/>
              <w:b w:val="0"/>
              <w:bCs w:val="0"/>
              <w:color w:val="auto"/>
              <w:sz w:val="32"/>
              <w:szCs w:val="32"/>
              <w:highlight w:val="none"/>
            </w:rPr>
            <w:t xml:space="preserve">第一部分 </w:t>
          </w:r>
          <w:r>
            <w:rPr>
              <w:rFonts w:hint="eastAsia" w:ascii="黑体" w:hAnsi="黑体" w:eastAsia="黑体"/>
              <w:b w:val="0"/>
              <w:bCs w:val="0"/>
              <w:color w:val="auto"/>
              <w:sz w:val="32"/>
              <w:szCs w:val="32"/>
              <w:highlight w:val="none"/>
              <w:lang w:eastAsia="zh-CN"/>
            </w:rPr>
            <w:t>单位</w:t>
          </w:r>
          <w:r>
            <w:rPr>
              <w:rFonts w:hint="eastAsia" w:ascii="黑体" w:hAnsi="黑体" w:eastAsia="黑体"/>
              <w:b w:val="0"/>
              <w:bCs w:val="0"/>
              <w:color w:val="auto"/>
              <w:sz w:val="32"/>
              <w:szCs w:val="32"/>
              <w:highlight w:val="none"/>
            </w:rPr>
            <w:t>概况</w:t>
          </w:r>
          <w:r>
            <w:rPr>
              <w:b w:val="0"/>
              <w:bCs w:val="0"/>
              <w:color w:val="auto"/>
              <w:sz w:val="32"/>
              <w:szCs w:val="32"/>
            </w:rPr>
            <w:tab/>
          </w:r>
          <w:r>
            <w:rPr>
              <w:rFonts w:hint="eastAsia" w:ascii="仿宋" w:hAnsi="仿宋" w:eastAsia="仿宋" w:cs="Times New Roman"/>
              <w:b w:val="0"/>
              <w:bCs w:val="0"/>
              <w:color w:val="auto"/>
              <w:sz w:val="32"/>
              <w:szCs w:val="32"/>
              <w:highlight w:val="none"/>
            </w:rPr>
            <w:fldChar w:fldCharType="begin"/>
          </w:r>
          <w:r>
            <w:rPr>
              <w:rFonts w:hint="eastAsia" w:ascii="仿宋" w:hAnsi="仿宋" w:eastAsia="仿宋" w:cs="Times New Roman"/>
              <w:b w:val="0"/>
              <w:bCs w:val="0"/>
              <w:color w:val="auto"/>
              <w:sz w:val="32"/>
              <w:szCs w:val="32"/>
              <w:highlight w:val="none"/>
            </w:rPr>
            <w:instrText xml:space="preserve"> PAGEREF _Toc9025 \h </w:instrText>
          </w:r>
          <w:r>
            <w:rPr>
              <w:rFonts w:hint="eastAsia" w:ascii="仿宋" w:hAnsi="仿宋" w:eastAsia="仿宋" w:cs="Times New Roman"/>
              <w:b w:val="0"/>
              <w:bCs w:val="0"/>
              <w:color w:val="auto"/>
              <w:sz w:val="32"/>
              <w:szCs w:val="32"/>
              <w:highlight w:val="none"/>
            </w:rPr>
            <w:fldChar w:fldCharType="separate"/>
          </w:r>
          <w:r>
            <w:rPr>
              <w:rFonts w:hint="eastAsia" w:ascii="仿宋" w:hAnsi="仿宋" w:eastAsia="仿宋" w:cs="Times New Roman"/>
              <w:b w:val="0"/>
              <w:bCs w:val="0"/>
              <w:color w:val="auto"/>
              <w:sz w:val="32"/>
              <w:szCs w:val="32"/>
              <w:highlight w:val="none"/>
            </w:rPr>
            <w:t>4</w:t>
          </w:r>
          <w:r>
            <w:rPr>
              <w:rFonts w:hint="eastAsia" w:ascii="仿宋" w:hAnsi="仿宋" w:eastAsia="仿宋" w:cs="Times New Roman"/>
              <w:b w:val="0"/>
              <w:bCs w:val="0"/>
              <w:color w:val="auto"/>
              <w:sz w:val="32"/>
              <w:szCs w:val="32"/>
              <w:highlight w:val="none"/>
            </w:rPr>
            <w:fldChar w:fldCharType="end"/>
          </w:r>
          <w:r>
            <w:rPr>
              <w:rFonts w:hint="eastAsia"/>
              <w:b w:val="0"/>
              <w:bCs w:val="0"/>
              <w:color w:val="auto"/>
              <w:sz w:val="32"/>
              <w:szCs w:val="32"/>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_Toc9450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lang w:val="en-US" w:eastAsia="zh-CN"/>
            </w:rPr>
            <w:t xml:space="preserve">一、 </w:t>
          </w:r>
          <w:r>
            <w:rPr>
              <w:rFonts w:hint="eastAsia" w:ascii="仿宋" w:hAnsi="仿宋" w:eastAsia="仿宋"/>
              <w:b w:val="0"/>
              <w:bCs w:val="0"/>
              <w:color w:val="auto"/>
              <w:sz w:val="32"/>
              <w:szCs w:val="32"/>
              <w:highlight w:val="none"/>
              <w:lang w:eastAsia="zh-CN"/>
            </w:rPr>
            <w:t>主要职责</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_Toc9450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4</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_Toc17351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lang w:val="en-US" w:eastAsia="zh-CN"/>
            </w:rPr>
            <w:t>二、 机构设置</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_Toc17351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5</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0"/>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_Toc19923 </w:instrText>
          </w:r>
          <w:r>
            <w:rPr>
              <w:rFonts w:hint="eastAsia"/>
              <w:b w:val="0"/>
              <w:bCs w:val="0"/>
              <w:color w:val="auto"/>
              <w:sz w:val="32"/>
              <w:szCs w:val="32"/>
              <w:lang w:eastAsia="zh-CN"/>
            </w:rPr>
            <w:fldChar w:fldCharType="separate"/>
          </w:r>
          <w:r>
            <w:rPr>
              <w:rFonts w:hint="eastAsia" w:ascii="黑体" w:hAnsi="黑体" w:eastAsia="黑体"/>
              <w:b w:val="0"/>
              <w:bCs w:val="0"/>
              <w:color w:val="auto"/>
              <w:sz w:val="32"/>
              <w:szCs w:val="32"/>
              <w:highlight w:val="none"/>
            </w:rPr>
            <w:t xml:space="preserve">第二部分 </w:t>
          </w:r>
          <w:r>
            <w:rPr>
              <w:rFonts w:hint="eastAsia" w:ascii="黑体" w:hAnsi="黑体" w:eastAsia="黑体"/>
              <w:b w:val="0"/>
              <w:bCs w:val="0"/>
              <w:color w:val="auto"/>
              <w:sz w:val="32"/>
              <w:szCs w:val="32"/>
              <w:highlight w:val="none"/>
              <w:lang w:val="en-US" w:eastAsia="zh-CN"/>
            </w:rPr>
            <w:t>2025年度</w:t>
          </w:r>
          <w:r>
            <w:rPr>
              <w:rFonts w:hint="eastAsia" w:ascii="黑体" w:hAnsi="黑体" w:eastAsia="黑体"/>
              <w:b w:val="0"/>
              <w:bCs w:val="0"/>
              <w:color w:val="auto"/>
              <w:sz w:val="32"/>
              <w:szCs w:val="32"/>
              <w:highlight w:val="none"/>
              <w:lang w:eastAsia="zh-CN"/>
            </w:rPr>
            <w:t>单位</w:t>
          </w:r>
          <w:r>
            <w:rPr>
              <w:rFonts w:hint="eastAsia" w:ascii="黑体" w:hAnsi="黑体" w:eastAsia="黑体"/>
              <w:b w:val="0"/>
              <w:bCs w:val="0"/>
              <w:color w:val="auto"/>
              <w:sz w:val="32"/>
              <w:szCs w:val="32"/>
              <w:highlight w:val="none"/>
            </w:rPr>
            <w:t>决算情况说明</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_Toc19923 \h </w:instrText>
          </w:r>
          <w:r>
            <w:rPr>
              <w:b w:val="0"/>
              <w:bCs w:val="0"/>
              <w:color w:val="auto"/>
              <w:sz w:val="32"/>
              <w:szCs w:val="32"/>
            </w:rPr>
            <w:fldChar w:fldCharType="separate"/>
          </w:r>
          <w:r>
            <w:rPr>
              <w:b w:val="0"/>
              <w:bCs w:val="0"/>
              <w:color w:val="auto"/>
              <w:sz w:val="32"/>
              <w:szCs w:val="32"/>
            </w:rPr>
            <w:t>5</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_Toc29223 </w:instrText>
          </w:r>
          <w:r>
            <w:rPr>
              <w:rFonts w:hint="eastAsia" w:ascii="仿宋" w:hAnsi="仿宋" w:eastAsia="仿宋"/>
              <w:b w:val="0"/>
              <w:bCs w:val="0"/>
              <w:color w:val="auto"/>
              <w:sz w:val="32"/>
              <w:szCs w:val="32"/>
              <w:highlight w:val="none"/>
              <w:lang w:eastAsia="zh-CN"/>
            </w:rPr>
            <w:fldChar w:fldCharType="separate"/>
          </w:r>
          <w:r>
            <w:rPr>
              <w:rFonts w:hint="default" w:ascii="仿宋" w:hAnsi="仿宋" w:eastAsia="仿宋"/>
              <w:b w:val="0"/>
              <w:bCs w:val="0"/>
              <w:color w:val="auto"/>
              <w:sz w:val="32"/>
              <w:szCs w:val="32"/>
              <w:highlight w:val="none"/>
            </w:rPr>
            <w:t xml:space="preserve">一、 </w:t>
          </w:r>
          <w:r>
            <w:rPr>
              <w:rFonts w:hint="eastAsia" w:ascii="仿宋" w:hAnsi="仿宋" w:eastAsia="仿宋"/>
              <w:b w:val="0"/>
              <w:bCs w:val="0"/>
              <w:color w:val="auto"/>
              <w:sz w:val="32"/>
              <w:szCs w:val="32"/>
              <w:highlight w:val="none"/>
            </w:rPr>
            <w:t>收入支出决算总体情况说明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_Toc29223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5</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_Toc18349 </w:instrText>
          </w:r>
          <w:r>
            <w:rPr>
              <w:rFonts w:hint="eastAsia" w:ascii="仿宋" w:hAnsi="仿宋" w:eastAsia="仿宋"/>
              <w:b w:val="0"/>
              <w:bCs w:val="0"/>
              <w:color w:val="auto"/>
              <w:sz w:val="32"/>
              <w:szCs w:val="32"/>
              <w:highlight w:val="none"/>
              <w:lang w:eastAsia="zh-CN"/>
            </w:rPr>
            <w:fldChar w:fldCharType="separate"/>
          </w:r>
          <w:r>
            <w:rPr>
              <w:rFonts w:hint="default" w:ascii="仿宋" w:hAnsi="仿宋" w:eastAsia="仿宋"/>
              <w:b w:val="0"/>
              <w:bCs w:val="0"/>
              <w:color w:val="auto"/>
              <w:sz w:val="32"/>
              <w:szCs w:val="32"/>
              <w:highlight w:val="none"/>
            </w:rPr>
            <w:t xml:space="preserve">二、 </w:t>
          </w:r>
          <w:r>
            <w:rPr>
              <w:rFonts w:hint="eastAsia" w:ascii="仿宋" w:hAnsi="仿宋" w:eastAsia="仿宋"/>
              <w:b w:val="0"/>
              <w:bCs w:val="0"/>
              <w:color w:val="auto"/>
              <w:sz w:val="32"/>
              <w:szCs w:val="32"/>
              <w:highlight w:val="none"/>
            </w:rPr>
            <w:t>收入决算情况说明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_Toc18349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6</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_Toc23803 </w:instrText>
          </w:r>
          <w:r>
            <w:rPr>
              <w:rFonts w:hint="eastAsia" w:ascii="仿宋" w:hAnsi="仿宋" w:eastAsia="仿宋"/>
              <w:b w:val="0"/>
              <w:bCs w:val="0"/>
              <w:color w:val="auto"/>
              <w:sz w:val="32"/>
              <w:szCs w:val="32"/>
              <w:highlight w:val="none"/>
              <w:lang w:eastAsia="zh-CN"/>
            </w:rPr>
            <w:fldChar w:fldCharType="separate"/>
          </w:r>
          <w:r>
            <w:rPr>
              <w:rFonts w:hint="default" w:ascii="仿宋" w:hAnsi="仿宋" w:eastAsia="仿宋"/>
              <w:b w:val="0"/>
              <w:bCs w:val="0"/>
              <w:color w:val="auto"/>
              <w:sz w:val="32"/>
              <w:szCs w:val="32"/>
              <w:highlight w:val="none"/>
            </w:rPr>
            <w:t xml:space="preserve">三、 </w:t>
          </w:r>
          <w:r>
            <w:rPr>
              <w:rFonts w:hint="eastAsia" w:ascii="仿宋" w:hAnsi="仿宋" w:eastAsia="仿宋"/>
              <w:b w:val="0"/>
              <w:bCs w:val="0"/>
              <w:color w:val="auto"/>
              <w:sz w:val="32"/>
              <w:szCs w:val="32"/>
              <w:highlight w:val="none"/>
            </w:rPr>
            <w:t>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_Toc23803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7</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_Toc12515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四、财政拨款收入支出决算总体情况说明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_Toc12515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7</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_Toc6604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五、一般公共预算财政拨款支出决算情况说明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_Toc6604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8</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_Toc13443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六、一般公共预算财政拨款基本支出决算情况说明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_Toc13443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12</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_Toc8474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七、财政拨款“三公”经费支出决算情况说明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_Toc8474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12</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_Toc15995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八、政府性基金预算支出决算情况说明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_Toc15995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13</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rFonts w:hint="eastAsia" w:ascii="仿宋" w:hAnsi="仿宋" w:eastAsia="仿宋"/>
              <w:b w:val="0"/>
              <w:bCs w:val="0"/>
              <w:color w:val="auto"/>
              <w:sz w:val="32"/>
              <w:szCs w:val="32"/>
              <w:highlight w:val="none"/>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_Toc27738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九、 国有资本经营预算支出决算情况说明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_Toc27738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13</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1"/>
            <w:tabs>
              <w:tab w:val="right" w:leader="dot" w:pos="8306"/>
            </w:tabs>
            <w:rPr>
              <w:b w:val="0"/>
              <w:bCs w:val="0"/>
              <w:color w:val="auto"/>
              <w:sz w:val="32"/>
              <w:szCs w:val="32"/>
            </w:rPr>
          </w:pPr>
          <w:r>
            <w:rPr>
              <w:rFonts w:hint="eastAsia" w:ascii="仿宋" w:hAnsi="仿宋" w:eastAsia="仿宋"/>
              <w:b w:val="0"/>
              <w:bCs w:val="0"/>
              <w:color w:val="auto"/>
              <w:sz w:val="32"/>
              <w:szCs w:val="32"/>
              <w:highlight w:val="none"/>
              <w:lang w:eastAsia="zh-CN"/>
            </w:rPr>
            <w:fldChar w:fldCharType="begin"/>
          </w:r>
          <w:r>
            <w:rPr>
              <w:rFonts w:hint="eastAsia" w:ascii="仿宋" w:hAnsi="仿宋" w:eastAsia="仿宋"/>
              <w:b w:val="0"/>
              <w:bCs w:val="0"/>
              <w:color w:val="auto"/>
              <w:sz w:val="32"/>
              <w:szCs w:val="32"/>
              <w:highlight w:val="none"/>
              <w:lang w:eastAsia="zh-CN"/>
            </w:rPr>
            <w:instrText xml:space="preserve"> HYPERLINK \l _Toc617 </w:instrText>
          </w:r>
          <w:r>
            <w:rPr>
              <w:rFonts w:hint="eastAsia" w:ascii="仿宋" w:hAnsi="仿宋" w:eastAsia="仿宋"/>
              <w:b w:val="0"/>
              <w:bCs w:val="0"/>
              <w:color w:val="auto"/>
              <w:sz w:val="32"/>
              <w:szCs w:val="32"/>
              <w:highlight w:val="none"/>
              <w:lang w:eastAsia="zh-CN"/>
            </w:rPr>
            <w:fldChar w:fldCharType="separate"/>
          </w:r>
          <w:r>
            <w:rPr>
              <w:rFonts w:hint="eastAsia" w:ascii="仿宋" w:hAnsi="仿宋" w:eastAsia="仿宋"/>
              <w:b w:val="0"/>
              <w:bCs w:val="0"/>
              <w:color w:val="auto"/>
              <w:sz w:val="32"/>
              <w:szCs w:val="32"/>
              <w:highlight w:val="none"/>
            </w:rPr>
            <w:t>十、 其他重要事项的情况说明</w:t>
          </w:r>
          <w:r>
            <w:rPr>
              <w:rFonts w:hint="eastAsia" w:ascii="仿宋" w:hAnsi="仿宋" w:eastAsia="仿宋"/>
              <w:b w:val="0"/>
              <w:bCs w:val="0"/>
              <w:color w:val="auto"/>
              <w:sz w:val="32"/>
              <w:szCs w:val="32"/>
              <w:highlight w:val="none"/>
            </w:rPr>
            <w:tab/>
          </w:r>
          <w:r>
            <w:rPr>
              <w:rFonts w:hint="eastAsia" w:ascii="仿宋" w:hAnsi="仿宋" w:eastAsia="仿宋"/>
              <w:b w:val="0"/>
              <w:bCs w:val="0"/>
              <w:color w:val="auto"/>
              <w:sz w:val="32"/>
              <w:szCs w:val="32"/>
              <w:highlight w:val="none"/>
            </w:rPr>
            <w:fldChar w:fldCharType="begin"/>
          </w:r>
          <w:r>
            <w:rPr>
              <w:rFonts w:hint="eastAsia" w:ascii="仿宋" w:hAnsi="仿宋" w:eastAsia="仿宋"/>
              <w:b w:val="0"/>
              <w:bCs w:val="0"/>
              <w:color w:val="auto"/>
              <w:sz w:val="32"/>
              <w:szCs w:val="32"/>
              <w:highlight w:val="none"/>
            </w:rPr>
            <w:instrText xml:space="preserve"> PAGEREF _Toc617 \h </w:instrText>
          </w:r>
          <w:r>
            <w:rPr>
              <w:rFonts w:hint="eastAsia" w:ascii="仿宋" w:hAnsi="仿宋" w:eastAsia="仿宋"/>
              <w:b w:val="0"/>
              <w:bCs w:val="0"/>
              <w:color w:val="auto"/>
              <w:sz w:val="32"/>
              <w:szCs w:val="32"/>
              <w:highlight w:val="none"/>
            </w:rPr>
            <w:fldChar w:fldCharType="separate"/>
          </w:r>
          <w:r>
            <w:rPr>
              <w:rFonts w:hint="eastAsia" w:ascii="仿宋" w:hAnsi="仿宋" w:eastAsia="仿宋"/>
              <w:b w:val="0"/>
              <w:bCs w:val="0"/>
              <w:color w:val="auto"/>
              <w:sz w:val="32"/>
              <w:szCs w:val="32"/>
              <w:highlight w:val="none"/>
            </w:rPr>
            <w:t>13</w:t>
          </w:r>
          <w:r>
            <w:rPr>
              <w:rFonts w:hint="eastAsia" w:ascii="仿宋" w:hAnsi="仿宋" w:eastAsia="仿宋"/>
              <w:b w:val="0"/>
              <w:bCs w:val="0"/>
              <w:color w:val="auto"/>
              <w:sz w:val="32"/>
              <w:szCs w:val="32"/>
              <w:highlight w:val="none"/>
            </w:rPr>
            <w:fldChar w:fldCharType="end"/>
          </w:r>
          <w:r>
            <w:rPr>
              <w:rFonts w:hint="eastAsia" w:ascii="仿宋" w:hAnsi="仿宋" w:eastAsia="仿宋"/>
              <w:b w:val="0"/>
              <w:bCs w:val="0"/>
              <w:color w:val="auto"/>
              <w:sz w:val="32"/>
              <w:szCs w:val="32"/>
              <w:highlight w:val="none"/>
              <w:lang w:eastAsia="zh-CN"/>
            </w:rPr>
            <w:fldChar w:fldCharType="end"/>
          </w:r>
        </w:p>
        <w:p>
          <w:pPr>
            <w:pStyle w:val="20"/>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_Toc3107 </w:instrText>
          </w:r>
          <w:r>
            <w:rPr>
              <w:rFonts w:hint="eastAsia"/>
              <w:b w:val="0"/>
              <w:bCs w:val="0"/>
              <w:color w:val="auto"/>
              <w:sz w:val="32"/>
              <w:szCs w:val="32"/>
              <w:lang w:eastAsia="zh-CN"/>
            </w:rPr>
            <w:fldChar w:fldCharType="separate"/>
          </w:r>
          <w:r>
            <w:rPr>
              <w:rFonts w:hint="eastAsia" w:ascii="黑体" w:hAnsi="黑体" w:eastAsia="黑体" w:cs="黑体"/>
              <w:b w:val="0"/>
              <w:bCs w:val="0"/>
              <w:color w:val="auto"/>
              <w:sz w:val="32"/>
              <w:szCs w:val="32"/>
            </w:rPr>
            <w:t xml:space="preserve">第三部分 </w:t>
          </w:r>
          <w:r>
            <w:rPr>
              <w:rFonts w:hint="eastAsia" w:ascii="黑体" w:hAnsi="黑体" w:eastAsia="黑体"/>
              <w:b w:val="0"/>
              <w:bCs w:val="0"/>
              <w:color w:val="auto"/>
              <w:sz w:val="32"/>
              <w:szCs w:val="32"/>
              <w:highlight w:val="none"/>
            </w:rPr>
            <w:t>名词解释</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_Toc3107 \h </w:instrText>
          </w:r>
          <w:r>
            <w:rPr>
              <w:b w:val="0"/>
              <w:bCs w:val="0"/>
              <w:color w:val="auto"/>
              <w:sz w:val="32"/>
              <w:szCs w:val="32"/>
            </w:rPr>
            <w:fldChar w:fldCharType="separate"/>
          </w:r>
          <w:r>
            <w:rPr>
              <w:b w:val="0"/>
              <w:bCs w:val="0"/>
              <w:color w:val="auto"/>
              <w:sz w:val="32"/>
              <w:szCs w:val="32"/>
            </w:rPr>
            <w:t>15</w:t>
          </w:r>
          <w:r>
            <w:rPr>
              <w:b w:val="0"/>
              <w:bCs w:val="0"/>
              <w:color w:val="auto"/>
              <w:sz w:val="32"/>
              <w:szCs w:val="32"/>
            </w:rPr>
            <w:fldChar w:fldCharType="end"/>
          </w:r>
          <w:r>
            <w:rPr>
              <w:rFonts w:hint="eastAsia"/>
              <w:b w:val="0"/>
              <w:bCs w:val="0"/>
              <w:color w:val="auto"/>
              <w:sz w:val="32"/>
              <w:szCs w:val="32"/>
              <w:lang w:eastAsia="zh-CN"/>
            </w:rPr>
            <w:fldChar w:fldCharType="end"/>
          </w:r>
        </w:p>
        <w:p>
          <w:pPr>
            <w:pStyle w:val="20"/>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_Toc19060 </w:instrText>
          </w:r>
          <w:r>
            <w:rPr>
              <w:rFonts w:hint="eastAsia"/>
              <w:b w:val="0"/>
              <w:bCs w:val="0"/>
              <w:color w:val="auto"/>
              <w:sz w:val="32"/>
              <w:szCs w:val="32"/>
              <w:lang w:eastAsia="zh-CN"/>
            </w:rPr>
            <w:fldChar w:fldCharType="separate"/>
          </w:r>
          <w:r>
            <w:rPr>
              <w:rFonts w:hint="eastAsia" w:ascii="黑体" w:hAnsi="黑体" w:eastAsia="黑体"/>
              <w:b w:val="0"/>
              <w:bCs w:val="0"/>
              <w:color w:val="auto"/>
              <w:sz w:val="32"/>
              <w:szCs w:val="32"/>
              <w:highlight w:val="none"/>
            </w:rPr>
            <w:t>第四部分 附件</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_Toc19060 \h </w:instrText>
          </w:r>
          <w:r>
            <w:rPr>
              <w:b w:val="0"/>
              <w:bCs w:val="0"/>
              <w:color w:val="auto"/>
              <w:sz w:val="32"/>
              <w:szCs w:val="32"/>
            </w:rPr>
            <w:fldChar w:fldCharType="separate"/>
          </w:r>
          <w:r>
            <w:rPr>
              <w:b w:val="0"/>
              <w:bCs w:val="0"/>
              <w:color w:val="auto"/>
              <w:sz w:val="32"/>
              <w:szCs w:val="32"/>
            </w:rPr>
            <w:t>18</w:t>
          </w:r>
          <w:r>
            <w:rPr>
              <w:b w:val="0"/>
              <w:bCs w:val="0"/>
              <w:color w:val="auto"/>
              <w:sz w:val="32"/>
              <w:szCs w:val="32"/>
            </w:rPr>
            <w:fldChar w:fldCharType="end"/>
          </w:r>
          <w:r>
            <w:rPr>
              <w:rFonts w:hint="eastAsia"/>
              <w:b w:val="0"/>
              <w:bCs w:val="0"/>
              <w:color w:val="auto"/>
              <w:sz w:val="32"/>
              <w:szCs w:val="32"/>
              <w:lang w:eastAsia="zh-CN"/>
            </w:rPr>
            <w:fldChar w:fldCharType="end"/>
          </w:r>
        </w:p>
        <w:p>
          <w:pPr>
            <w:pStyle w:val="20"/>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_Toc18304 </w:instrText>
          </w:r>
          <w:r>
            <w:rPr>
              <w:rFonts w:hint="eastAsia"/>
              <w:b w:val="0"/>
              <w:bCs w:val="0"/>
              <w:color w:val="auto"/>
              <w:sz w:val="32"/>
              <w:szCs w:val="32"/>
              <w:lang w:eastAsia="zh-CN"/>
            </w:rPr>
            <w:fldChar w:fldCharType="separate"/>
          </w:r>
          <w:r>
            <w:rPr>
              <w:rFonts w:hint="eastAsia" w:ascii="黑体" w:hAnsi="黑体" w:eastAsia="黑体"/>
              <w:b w:val="0"/>
              <w:bCs w:val="0"/>
              <w:color w:val="auto"/>
              <w:sz w:val="32"/>
              <w:szCs w:val="32"/>
              <w:highlight w:val="none"/>
            </w:rPr>
            <w:t>第五部分 附表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_Toc18304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_Toc14397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一、收入支出决算总表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_Toc14397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_Toc26814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二、收入决算表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_Toc26814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_Toc16066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三、支出决算表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_Toc16066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_Toc30478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四、财政拨款收入支出决算总表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_Toc30478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_Toc3152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五、财政拨款支出决算明细表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_Toc3152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_Toc2703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六、一般公共预算财政拨款支出决算表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_Toc2703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_Toc11374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七、一般公共预算财政拨款支出决算明细表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_Toc11374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_Toc11495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八、一般公共预算财政拨款基本支出决算表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_Toc11495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_Toc1390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九、一般公共预算财政拨款项目支出决算表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_Toc1390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_Toc2423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十、政府性基金预算财政拨款收入支出决算表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_Toc2423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_Toc16942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十一、国有资本经营预算</w:t>
          </w:r>
          <w:r>
            <w:rPr>
              <w:rFonts w:hint="eastAsia" w:ascii="仿宋" w:hAnsi="仿宋" w:eastAsia="仿宋"/>
              <w:b w:val="0"/>
              <w:bCs w:val="0"/>
              <w:color w:val="auto"/>
              <w:sz w:val="32"/>
              <w:szCs w:val="32"/>
              <w:highlight w:val="none"/>
              <w:lang w:eastAsia="zh-CN"/>
            </w:rPr>
            <w:t>财政拨款收入</w:t>
          </w:r>
          <w:r>
            <w:rPr>
              <w:rFonts w:hint="eastAsia" w:ascii="仿宋" w:hAnsi="仿宋" w:eastAsia="仿宋"/>
              <w:b w:val="0"/>
              <w:bCs w:val="0"/>
              <w:color w:val="auto"/>
              <w:sz w:val="32"/>
              <w:szCs w:val="32"/>
              <w:highlight w:val="none"/>
            </w:rPr>
            <w:t>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_Toc16942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_Toc16518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十二、</w:t>
          </w:r>
          <w:r>
            <w:rPr>
              <w:rFonts w:hint="eastAsia" w:ascii="仿宋" w:hAnsi="仿宋" w:eastAsia="仿宋"/>
              <w:b w:val="0"/>
              <w:bCs w:val="0"/>
              <w:color w:val="auto"/>
              <w:sz w:val="32"/>
              <w:szCs w:val="32"/>
              <w:highlight w:val="none"/>
              <w:lang w:eastAsia="zh-CN"/>
            </w:rPr>
            <w:t>国有资本经营预算财政拨款支出决算表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_Toc16518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pStyle w:val="21"/>
            <w:tabs>
              <w:tab w:val="right" w:leader="dot" w:pos="8306"/>
            </w:tabs>
            <w:rPr>
              <w:b w:val="0"/>
              <w:bCs w:val="0"/>
              <w:color w:val="auto"/>
              <w:sz w:val="32"/>
              <w:szCs w:val="32"/>
            </w:rPr>
          </w:pPr>
          <w:r>
            <w:rPr>
              <w:rFonts w:hint="eastAsia"/>
              <w:b w:val="0"/>
              <w:bCs w:val="0"/>
              <w:color w:val="auto"/>
              <w:sz w:val="32"/>
              <w:szCs w:val="32"/>
              <w:lang w:eastAsia="zh-CN"/>
            </w:rPr>
            <w:fldChar w:fldCharType="begin"/>
          </w:r>
          <w:r>
            <w:rPr>
              <w:rFonts w:hint="eastAsia"/>
              <w:b w:val="0"/>
              <w:bCs w:val="0"/>
              <w:color w:val="auto"/>
              <w:sz w:val="32"/>
              <w:szCs w:val="32"/>
              <w:lang w:eastAsia="zh-CN"/>
            </w:rPr>
            <w:instrText xml:space="preserve"> HYPERLINK \l _Toc10039 </w:instrText>
          </w:r>
          <w:r>
            <w:rPr>
              <w:rFonts w:hint="eastAsia"/>
              <w:b w:val="0"/>
              <w:bCs w:val="0"/>
              <w:color w:val="auto"/>
              <w:sz w:val="32"/>
              <w:szCs w:val="32"/>
              <w:lang w:eastAsia="zh-CN"/>
            </w:rPr>
            <w:fldChar w:fldCharType="separate"/>
          </w:r>
          <w:r>
            <w:rPr>
              <w:rFonts w:hint="eastAsia" w:ascii="仿宋" w:hAnsi="仿宋" w:eastAsia="仿宋"/>
              <w:b w:val="0"/>
              <w:bCs w:val="0"/>
              <w:color w:val="auto"/>
              <w:sz w:val="32"/>
              <w:szCs w:val="32"/>
              <w:highlight w:val="none"/>
            </w:rPr>
            <w:t>十三、</w:t>
          </w:r>
          <w:r>
            <w:rPr>
              <w:rFonts w:hint="eastAsia" w:ascii="仿宋" w:hAnsi="仿宋" w:eastAsia="仿宋"/>
              <w:b w:val="0"/>
              <w:bCs w:val="0"/>
              <w:color w:val="auto"/>
              <w:sz w:val="32"/>
              <w:szCs w:val="32"/>
              <w:highlight w:val="none"/>
              <w:lang w:eastAsia="zh-CN"/>
            </w:rPr>
            <w:t>财政拨款“三公”经费支出决算表</w:t>
          </w:r>
          <w:r>
            <w:rPr>
              <w:b w:val="0"/>
              <w:bCs w:val="0"/>
              <w:color w:val="auto"/>
              <w:sz w:val="32"/>
              <w:szCs w:val="32"/>
            </w:rPr>
            <w:tab/>
          </w:r>
          <w:r>
            <w:rPr>
              <w:b w:val="0"/>
              <w:bCs w:val="0"/>
              <w:color w:val="auto"/>
              <w:sz w:val="32"/>
              <w:szCs w:val="32"/>
            </w:rPr>
            <w:fldChar w:fldCharType="begin"/>
          </w:r>
          <w:r>
            <w:rPr>
              <w:b w:val="0"/>
              <w:bCs w:val="0"/>
              <w:color w:val="auto"/>
              <w:sz w:val="32"/>
              <w:szCs w:val="32"/>
            </w:rPr>
            <w:instrText xml:space="preserve"> PAGEREF _Toc10039 \h </w:instrText>
          </w:r>
          <w:r>
            <w:rPr>
              <w:b w:val="0"/>
              <w:bCs w:val="0"/>
              <w:color w:val="auto"/>
              <w:sz w:val="32"/>
              <w:szCs w:val="32"/>
            </w:rPr>
            <w:fldChar w:fldCharType="separate"/>
          </w:r>
          <w:r>
            <w:rPr>
              <w:b w:val="0"/>
              <w:bCs w:val="0"/>
              <w:color w:val="auto"/>
              <w:sz w:val="32"/>
              <w:szCs w:val="32"/>
            </w:rPr>
            <w:t>39</w:t>
          </w:r>
          <w:r>
            <w:rPr>
              <w:b w:val="0"/>
              <w:bCs w:val="0"/>
              <w:color w:val="auto"/>
              <w:sz w:val="32"/>
              <w:szCs w:val="32"/>
            </w:rPr>
            <w:fldChar w:fldCharType="end"/>
          </w:r>
          <w:r>
            <w:rPr>
              <w:rFonts w:hint="eastAsia"/>
              <w:b w:val="0"/>
              <w:bCs w:val="0"/>
              <w:color w:val="auto"/>
              <w:sz w:val="32"/>
              <w:szCs w:val="32"/>
              <w:lang w:eastAsia="zh-CN"/>
            </w:rPr>
            <w:fldChar w:fldCharType="end"/>
          </w:r>
        </w:p>
        <w:p>
          <w:pPr>
            <w:rPr>
              <w:rFonts w:hint="eastAsia"/>
              <w:color w:val="auto"/>
              <w:sz w:val="32"/>
              <w:szCs w:val="32"/>
              <w:lang w:eastAsia="zh-CN"/>
            </w:rPr>
          </w:pPr>
          <w:r>
            <w:rPr>
              <w:rFonts w:hint="eastAsia"/>
              <w:b w:val="0"/>
              <w:bCs w:val="0"/>
              <w:color w:val="auto"/>
              <w:sz w:val="32"/>
              <w:szCs w:val="32"/>
              <w:lang w:eastAsia="zh-CN"/>
            </w:rPr>
            <w:fldChar w:fldCharType="end"/>
          </w:r>
        </w:p>
      </w:sdtContent>
    </w:sdt>
    <w:p>
      <w:pPr>
        <w:widowControl/>
        <w:spacing w:line="440" w:lineRule="exact"/>
        <w:jc w:val="left"/>
        <w:rPr>
          <w:rFonts w:ascii="仿宋" w:hAnsi="仿宋" w:eastAsia="仿宋"/>
          <w:bCs/>
          <w:color w:val="auto"/>
          <w:kern w:val="44"/>
          <w:sz w:val="24"/>
          <w:highlight w:val="none"/>
        </w:rPr>
      </w:pPr>
      <w:bookmarkStart w:id="8" w:name="_Toc15396599"/>
      <w:bookmarkStart w:id="9" w:name="_Toc15377196"/>
      <w:r>
        <w:rPr>
          <w:rFonts w:ascii="仿宋" w:hAnsi="仿宋" w:eastAsia="仿宋"/>
          <w:b/>
          <w:color w:val="auto"/>
          <w:sz w:val="24"/>
          <w:highlight w:val="none"/>
        </w:rPr>
        <w:br w:type="page"/>
      </w:r>
    </w:p>
    <w:p>
      <w:pPr>
        <w:pStyle w:val="5"/>
        <w:numPr>
          <w:ilvl w:val="0"/>
          <w:numId w:val="1"/>
        </w:numPr>
        <w:jc w:val="center"/>
        <w:rPr>
          <w:rStyle w:val="16"/>
          <w:rFonts w:hint="eastAsia" w:ascii="黑体" w:hAnsi="黑体" w:eastAsia="黑体"/>
          <w:b w:val="0"/>
          <w:bCs w:val="0"/>
          <w:color w:val="auto"/>
          <w:highlight w:val="none"/>
        </w:rPr>
      </w:pPr>
      <w:bookmarkStart w:id="10" w:name="_Toc9025"/>
      <w:r>
        <w:rPr>
          <w:rFonts w:hint="eastAsia" w:ascii="黑体" w:hAnsi="黑体" w:eastAsia="黑体"/>
          <w:b w:val="0"/>
          <w:color w:val="auto"/>
          <w:highlight w:val="none"/>
          <w:lang w:eastAsia="zh-CN"/>
        </w:rPr>
        <w:t>单位</w:t>
      </w:r>
      <w:r>
        <w:rPr>
          <w:rStyle w:val="16"/>
          <w:rFonts w:hint="eastAsia" w:ascii="黑体" w:hAnsi="黑体" w:eastAsia="黑体"/>
          <w:b w:val="0"/>
          <w:bCs w:val="0"/>
          <w:color w:val="auto"/>
          <w:highlight w:val="none"/>
        </w:rPr>
        <w:t>概况</w:t>
      </w:r>
      <w:bookmarkEnd w:id="8"/>
      <w:bookmarkEnd w:id="9"/>
      <w:bookmarkEnd w:id="10"/>
    </w:p>
    <w:p>
      <w:pPr>
        <w:numPr>
          <w:ilvl w:val="0"/>
          <w:numId w:val="0"/>
        </w:numPr>
      </w:pPr>
    </w:p>
    <w:p>
      <w:pPr>
        <w:pStyle w:val="6"/>
        <w:numPr>
          <w:ilvl w:val="0"/>
          <w:numId w:val="2"/>
        </w:numPr>
        <w:rPr>
          <w:rFonts w:hint="eastAsia" w:ascii="仿宋_GB2312" w:hAnsi="仿宋_GB2312" w:eastAsia="仿宋_GB2312" w:cs="仿宋_GB2312"/>
          <w:color w:val="auto"/>
          <w:kern w:val="0"/>
          <w:sz w:val="32"/>
          <w:szCs w:val="32"/>
          <w:lang w:val="en-US" w:eastAsia="zh-CN" w:bidi="ar"/>
        </w:rPr>
      </w:pPr>
      <w:bookmarkStart w:id="11" w:name="_Toc9450"/>
      <w:bookmarkStart w:id="12" w:name="_Toc15396600"/>
      <w:bookmarkStart w:id="13" w:name="_Toc15377197"/>
      <w:r>
        <w:rPr>
          <w:rStyle w:val="17"/>
          <w:rFonts w:hint="eastAsia" w:ascii="黑体" w:hAnsi="黑体" w:eastAsia="黑体"/>
          <w:b w:val="0"/>
          <w:bCs w:val="0"/>
          <w:color w:val="auto"/>
          <w:highlight w:val="none"/>
          <w:lang w:eastAsia="zh-CN"/>
        </w:rPr>
        <w:t>主要职责</w:t>
      </w:r>
      <w:bookmarkEnd w:id="11"/>
    </w:p>
    <w:p>
      <w:pPr>
        <w:ind w:firstLine="800" w:firstLineChars="25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是国家二级甲等公立中医医院，占地面积40000余平方米，建筑面积63000平方米，编制床位299张，是集医疗、教学、科研、养生、保健、康复“六位一体”的中医医院，中医特色优势突出，临床学科齐全，宜宾市叙州区中医龙头医院。医院是:四川省宜宾卫生学校等院校的教学实习基地；四川省中医康复适宜技术传承与推广示范基地；四川省残联残疾儿童康复服务定点机构；宜宾市“西学中”培训基地；宜宾市院前急救120网络医院；宜宾市医保工伤定点医院；宜宾市叙州区中医药适宜技术推广中心；宜宾市叙州区中医全科医生转岗培训基地；宜宾市驾驶员体检定点医院；宜宾市叙州区健康证办理定点医院；宜宾市叙州区残疾人残情鉴定定点医院。</w:t>
      </w:r>
    </w:p>
    <w:p>
      <w:pPr>
        <w:rPr>
          <w:rFonts w:hint="eastAsia"/>
          <w:color w:val="auto"/>
          <w:lang w:val="en-US" w:eastAsia="zh-CN"/>
        </w:rPr>
      </w:pPr>
      <w:r>
        <w:rPr>
          <w:rFonts w:hint="eastAsia" w:ascii="仿宋_GB2312" w:hAnsi="仿宋_GB2312" w:eastAsia="仿宋_GB2312" w:cs="仿宋_GB2312"/>
          <w:color w:val="auto"/>
          <w:sz w:val="32"/>
          <w:szCs w:val="32"/>
          <w:lang w:val="en-US" w:eastAsia="zh-CN"/>
        </w:rPr>
        <w:t>设备配置：配有美国GE24排32层螺旋CT、美国乳腺钼靶机、美国GE全数字化X线摄影系统（DR）、美国骨密度仪、高清腹腔镜、电子胃肠镜、TTM热断层扫描成像系统、彩超、体外冲击波碎石机、C臂、关节镜、输尿管硬镜、膀胱镜、前列腺等离子电切系统、钬激光、气压弹道、纤维输尿管软镜、肺功能仪、全自动生化分析仪等医疗设备，为临床精准诊断与有效治疗提供坚实硬件保障。</w:t>
      </w:r>
    </w:p>
    <w:p>
      <w:pPr>
        <w:pStyle w:val="6"/>
        <w:keepNext/>
        <w:keepLines/>
        <w:pageBreakBefore w:val="0"/>
        <w:widowControl w:val="0"/>
        <w:numPr>
          <w:ilvl w:val="0"/>
          <w:numId w:val="2"/>
        </w:numPr>
        <w:kinsoku/>
        <w:wordWrap/>
        <w:overflowPunct/>
        <w:topLinePunct w:val="0"/>
        <w:autoSpaceDE/>
        <w:autoSpaceDN/>
        <w:bidi w:val="0"/>
        <w:snapToGrid w:val="0"/>
        <w:spacing w:line="576" w:lineRule="exact"/>
        <w:ind w:left="0" w:leftChars="0" w:firstLine="0" w:firstLineChars="0"/>
        <w:textAlignment w:val="auto"/>
        <w:rPr>
          <w:rFonts w:hint="eastAsia" w:ascii="黑体" w:hAnsi="黑体" w:eastAsia="黑体"/>
          <w:b w:val="0"/>
          <w:color w:val="auto"/>
          <w:highlight w:val="none"/>
          <w:lang w:val="en-US" w:eastAsia="zh-CN"/>
        </w:rPr>
      </w:pPr>
      <w:bookmarkStart w:id="14" w:name="_Toc17351"/>
      <w:r>
        <w:rPr>
          <w:rFonts w:hint="eastAsia" w:ascii="黑体" w:hAnsi="黑体" w:eastAsia="黑体"/>
          <w:b w:val="0"/>
          <w:color w:val="auto"/>
          <w:highlight w:val="none"/>
          <w:lang w:val="en-US" w:eastAsia="zh-CN"/>
        </w:rPr>
        <w:t>机构设置</w:t>
      </w:r>
      <w:bookmarkEnd w:id="14"/>
    </w:p>
    <w:p>
      <w:pPr>
        <w:ind w:firstLine="800" w:firstLineChars="25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我院是宜宾市叙州区卫生健康局下属二级单位，属于差额拨款事业单位。</w:t>
      </w:r>
    </w:p>
    <w:p>
      <w:pPr>
        <w:pStyle w:val="2"/>
        <w:rPr>
          <w:rFonts w:hint="eastAsia" w:ascii="FangSong_GB2312" w:eastAsia="FangSong_GB2312"/>
          <w:color w:val="auto"/>
          <w:sz w:val="32"/>
          <w:szCs w:val="32"/>
        </w:rPr>
      </w:pPr>
    </w:p>
    <w:p>
      <w:pPr>
        <w:pStyle w:val="3"/>
      </w:pPr>
    </w:p>
    <w:p>
      <w:pPr>
        <w:numPr>
          <w:ilvl w:val="0"/>
          <w:numId w:val="0"/>
        </w:numPr>
        <w:ind w:leftChars="0"/>
        <w:rPr>
          <w:rFonts w:hint="eastAsia"/>
          <w:color w:val="FF0000"/>
          <w:lang w:val="en-US" w:eastAsia="zh-CN"/>
        </w:rPr>
      </w:pPr>
    </w:p>
    <w:bookmarkEnd w:id="12"/>
    <w:bookmarkEnd w:id="13"/>
    <w:p>
      <w:pPr>
        <w:widowControl/>
        <w:jc w:val="center"/>
        <w:rPr>
          <w:rStyle w:val="16"/>
          <w:rFonts w:ascii="黑体" w:hAnsi="黑体" w:eastAsia="黑体"/>
          <w:b w:val="0"/>
          <w:bCs/>
          <w:color w:val="auto"/>
          <w:sz w:val="44"/>
          <w:szCs w:val="44"/>
          <w:highlight w:val="none"/>
        </w:rPr>
      </w:pPr>
      <w:bookmarkStart w:id="15" w:name="_Toc15396602"/>
      <w:bookmarkStart w:id="16" w:name="_Toc19923"/>
      <w:bookmarkStart w:id="17" w:name="_Toc15377204"/>
      <w:r>
        <w:rPr>
          <w:rFonts w:hint="eastAsia" w:ascii="黑体" w:hAnsi="黑体" w:eastAsia="黑体"/>
          <w:b w:val="0"/>
          <w:bCs/>
          <w:color w:val="auto"/>
          <w:sz w:val="44"/>
          <w:szCs w:val="44"/>
          <w:highlight w:val="none"/>
        </w:rPr>
        <w:t xml:space="preserve">第二部分 </w:t>
      </w:r>
      <w:r>
        <w:rPr>
          <w:rFonts w:hint="eastAsia" w:ascii="黑体" w:hAnsi="黑体" w:eastAsia="黑体"/>
          <w:b w:val="0"/>
          <w:bCs/>
          <w:color w:val="auto"/>
          <w:sz w:val="44"/>
          <w:szCs w:val="44"/>
          <w:highlight w:val="none"/>
          <w:lang w:val="en-US" w:eastAsia="zh-CN"/>
        </w:rPr>
        <w:t>2025年度</w:t>
      </w:r>
      <w:r>
        <w:rPr>
          <w:rStyle w:val="16"/>
          <w:rFonts w:hint="eastAsia" w:ascii="黑体" w:hAnsi="黑体" w:eastAsia="黑体"/>
          <w:b w:val="0"/>
          <w:bCs/>
          <w:color w:val="auto"/>
          <w:sz w:val="44"/>
          <w:szCs w:val="44"/>
          <w:highlight w:val="none"/>
          <w:lang w:eastAsia="zh-CN"/>
        </w:rPr>
        <w:t>单位</w:t>
      </w:r>
      <w:r>
        <w:rPr>
          <w:rStyle w:val="16"/>
          <w:rFonts w:hint="eastAsia" w:ascii="黑体" w:hAnsi="黑体" w:eastAsia="黑体"/>
          <w:b w:val="0"/>
          <w:bCs/>
          <w:color w:val="auto"/>
          <w:sz w:val="44"/>
          <w:szCs w:val="44"/>
          <w:highlight w:val="none"/>
        </w:rPr>
        <w:t>决算情况说明</w:t>
      </w:r>
      <w:bookmarkEnd w:id="15"/>
      <w:bookmarkEnd w:id="16"/>
      <w:bookmarkEnd w:id="17"/>
    </w:p>
    <w:p>
      <w:pPr>
        <w:rPr>
          <w:color w:val="FF0000"/>
          <w:highlight w:val="none"/>
        </w:rPr>
      </w:pPr>
    </w:p>
    <w:p>
      <w:pPr>
        <w:pStyle w:val="18"/>
        <w:numPr>
          <w:ilvl w:val="0"/>
          <w:numId w:val="3"/>
        </w:numPr>
        <w:spacing w:line="600" w:lineRule="exact"/>
        <w:ind w:firstLineChars="0"/>
        <w:outlineLvl w:val="1"/>
        <w:rPr>
          <w:rStyle w:val="17"/>
          <w:rFonts w:ascii="黑体" w:hAnsi="黑体" w:eastAsia="黑体"/>
          <w:b w:val="0"/>
          <w:color w:val="auto"/>
          <w:highlight w:val="none"/>
        </w:rPr>
      </w:pPr>
      <w:bookmarkStart w:id="18" w:name="_Toc15377205"/>
      <w:bookmarkStart w:id="19" w:name="_Toc29223"/>
      <w:bookmarkStart w:id="20" w:name="_Toc15396603"/>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入支出决算总体情况说明</w:t>
      </w:r>
      <w:bookmarkEnd w:id="18"/>
      <w:bookmarkEnd w:id="19"/>
      <w:bookmarkEnd w:id="20"/>
    </w:p>
    <w:p>
      <w:pPr>
        <w:spacing w:line="60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年度收入总计</w:t>
      </w:r>
      <w:r>
        <w:rPr>
          <w:rFonts w:hint="eastAsia" w:ascii="仿宋_GB2312" w:hAnsi="仿宋_GB2312" w:eastAsia="仿宋_GB2312" w:cs="仿宋_GB2312"/>
          <w:color w:val="auto"/>
          <w:sz w:val="32"/>
          <w:szCs w:val="32"/>
          <w:lang w:val="en-US" w:eastAsia="zh-CN"/>
        </w:rPr>
        <w:t>10588.69</w:t>
      </w:r>
      <w:r>
        <w:rPr>
          <w:rFonts w:hint="eastAsia" w:ascii="仿宋_GB2312" w:hAnsi="仿宋_GB2312" w:eastAsia="仿宋_GB2312" w:cs="仿宋_GB2312"/>
          <w:color w:val="auto"/>
          <w:sz w:val="32"/>
          <w:szCs w:val="32"/>
          <w:lang w:eastAsia="zh-CN"/>
        </w:rPr>
        <w:t>万元。与202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年相比，收入总计增加</w:t>
      </w:r>
      <w:r>
        <w:rPr>
          <w:rFonts w:hint="eastAsia" w:ascii="仿宋_GB2312" w:hAnsi="仿宋_GB2312" w:eastAsia="仿宋_GB2312" w:cs="仿宋_GB2312"/>
          <w:color w:val="auto"/>
          <w:sz w:val="32"/>
          <w:szCs w:val="32"/>
          <w:lang w:val="en-US" w:eastAsia="zh-CN"/>
        </w:rPr>
        <w:t>5582.23</w:t>
      </w:r>
      <w:r>
        <w:rPr>
          <w:rFonts w:hint="eastAsia" w:ascii="仿宋_GB2312" w:hAnsi="仿宋_GB2312" w:eastAsia="仿宋_GB2312" w:cs="仿宋_GB2312"/>
          <w:color w:val="auto"/>
          <w:sz w:val="32"/>
          <w:szCs w:val="32"/>
          <w:lang w:eastAsia="zh-CN"/>
        </w:rPr>
        <w:t>万元，增加</w:t>
      </w:r>
      <w:r>
        <w:rPr>
          <w:rFonts w:hint="eastAsia" w:ascii="仿宋_GB2312" w:hAnsi="仿宋_GB2312" w:eastAsia="仿宋_GB2312" w:cs="仿宋_GB2312"/>
          <w:color w:val="auto"/>
          <w:sz w:val="32"/>
          <w:szCs w:val="32"/>
          <w:lang w:val="en-US" w:eastAsia="zh-CN"/>
        </w:rPr>
        <w:t>213.88</w:t>
      </w:r>
      <w:r>
        <w:rPr>
          <w:rFonts w:hint="eastAsia" w:ascii="仿宋_GB2312" w:hAnsi="仿宋_GB2312" w:eastAsia="仿宋_GB2312" w:cs="仿宋_GB2312"/>
          <w:color w:val="auto"/>
          <w:sz w:val="32"/>
          <w:szCs w:val="32"/>
          <w:lang w:eastAsia="zh-CN"/>
        </w:rPr>
        <w:t>%。主要变动原因是财政拨款收较上年增加</w:t>
      </w:r>
      <w:r>
        <w:rPr>
          <w:rFonts w:hint="eastAsia" w:ascii="仿宋_GB2312" w:hAnsi="仿宋_GB2312" w:eastAsia="仿宋_GB2312" w:cs="仿宋_GB2312"/>
          <w:color w:val="auto"/>
          <w:sz w:val="32"/>
          <w:szCs w:val="32"/>
          <w:lang w:val="en-US" w:eastAsia="zh-CN"/>
        </w:rPr>
        <w:t>267.69</w:t>
      </w:r>
      <w:r>
        <w:rPr>
          <w:rFonts w:hint="eastAsia" w:ascii="仿宋_GB2312" w:hAnsi="仿宋_GB2312" w:eastAsia="仿宋_GB2312" w:cs="仿宋_GB2312"/>
          <w:color w:val="auto"/>
          <w:sz w:val="32"/>
          <w:szCs w:val="32"/>
          <w:lang w:eastAsia="zh-CN"/>
        </w:rPr>
        <w:t>万元，事业收入较上年增加</w:t>
      </w:r>
      <w:r>
        <w:rPr>
          <w:rFonts w:hint="eastAsia" w:ascii="仿宋_GB2312" w:hAnsi="仿宋_GB2312" w:eastAsia="仿宋_GB2312" w:cs="仿宋_GB2312"/>
          <w:color w:val="auto"/>
          <w:sz w:val="32"/>
          <w:szCs w:val="32"/>
          <w:lang w:val="en-US" w:eastAsia="zh-CN"/>
        </w:rPr>
        <w:t>616.79</w:t>
      </w:r>
      <w:r>
        <w:rPr>
          <w:rFonts w:hint="eastAsia" w:ascii="仿宋_GB2312" w:hAnsi="仿宋_GB2312" w:eastAsia="仿宋_GB2312" w:cs="仿宋_GB2312"/>
          <w:color w:val="auto"/>
          <w:sz w:val="32"/>
          <w:szCs w:val="32"/>
          <w:lang w:eastAsia="zh-CN"/>
        </w:rPr>
        <w:t>万元，其他收入增加</w:t>
      </w:r>
      <w:r>
        <w:rPr>
          <w:rFonts w:hint="eastAsia" w:ascii="仿宋_GB2312" w:hAnsi="仿宋_GB2312" w:eastAsia="仿宋_GB2312" w:cs="仿宋_GB2312"/>
          <w:color w:val="auto"/>
          <w:sz w:val="32"/>
          <w:szCs w:val="32"/>
          <w:lang w:val="en-US" w:eastAsia="zh-CN"/>
        </w:rPr>
        <w:t>6330.68</w:t>
      </w:r>
      <w:r>
        <w:rPr>
          <w:rFonts w:hint="eastAsia" w:ascii="仿宋_GB2312" w:hAnsi="仿宋_GB2312" w:eastAsia="仿宋_GB2312" w:cs="仿宋_GB2312"/>
          <w:color w:val="auto"/>
          <w:sz w:val="32"/>
          <w:szCs w:val="32"/>
          <w:lang w:eastAsia="zh-CN"/>
        </w:rPr>
        <w:t>万元，主要原因为新院区项目转拨款增加</w:t>
      </w:r>
      <w:r>
        <w:rPr>
          <w:rFonts w:hint="eastAsia" w:ascii="仿宋_GB2312" w:hAnsi="仿宋_GB2312" w:eastAsia="仿宋_GB2312" w:cs="仿宋_GB2312"/>
          <w:color w:val="auto"/>
          <w:sz w:val="32"/>
          <w:szCs w:val="32"/>
          <w:lang w:val="en-US" w:eastAsia="zh-CN"/>
        </w:rPr>
        <w:t>5251.94</w:t>
      </w:r>
      <w:r>
        <w:rPr>
          <w:rFonts w:hint="eastAsia" w:ascii="仿宋_GB2312" w:hAnsi="仿宋_GB2312" w:eastAsia="仿宋_GB2312" w:cs="仿宋_GB2312"/>
          <w:color w:val="auto"/>
          <w:sz w:val="32"/>
          <w:szCs w:val="32"/>
          <w:lang w:eastAsia="zh-CN"/>
        </w:rPr>
        <w:t>万元，两专科一中心项目经费增加</w:t>
      </w:r>
      <w:r>
        <w:rPr>
          <w:rFonts w:hint="eastAsia" w:ascii="仿宋_GB2312" w:hAnsi="仿宋_GB2312" w:eastAsia="仿宋_GB2312" w:cs="仿宋_GB2312"/>
          <w:color w:val="auto"/>
          <w:sz w:val="32"/>
          <w:szCs w:val="32"/>
          <w:lang w:val="en-US" w:eastAsia="zh-CN"/>
        </w:rPr>
        <w:t>100万元，治未病中心项目经费增加50万元。</w:t>
      </w:r>
    </w:p>
    <w:p>
      <w:pPr>
        <w:pStyle w:val="7"/>
        <w:rPr>
          <w:rFonts w:hint="default" w:ascii="仿宋" w:hAnsi="仿宋" w:eastAsia="仿宋" w:cs="Times New Roman"/>
          <w:color w:val="auto"/>
          <w:sz w:val="32"/>
          <w:szCs w:val="32"/>
          <w:highlight w:val="none"/>
          <w:lang w:val="en-US"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年度支出总计</w:t>
      </w:r>
      <w:r>
        <w:rPr>
          <w:rFonts w:hint="eastAsia" w:ascii="仿宋_GB2312" w:hAnsi="仿宋_GB2312" w:eastAsia="仿宋_GB2312" w:cs="仿宋_GB2312"/>
          <w:color w:val="auto"/>
          <w:sz w:val="32"/>
          <w:szCs w:val="32"/>
          <w:lang w:val="en-US" w:eastAsia="zh-CN"/>
        </w:rPr>
        <w:t>10859.42</w:t>
      </w:r>
      <w:r>
        <w:rPr>
          <w:rFonts w:hint="eastAsia" w:ascii="仿宋_GB2312" w:hAnsi="仿宋_GB2312" w:eastAsia="仿宋_GB2312" w:cs="仿宋_GB2312"/>
          <w:color w:val="auto"/>
          <w:sz w:val="32"/>
          <w:szCs w:val="32"/>
          <w:lang w:eastAsia="zh-CN"/>
        </w:rPr>
        <w:t>万元。与202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年相比，支出总计增加</w:t>
      </w:r>
      <w:r>
        <w:rPr>
          <w:rFonts w:hint="eastAsia" w:ascii="仿宋_GB2312" w:hAnsi="仿宋_GB2312" w:eastAsia="仿宋_GB2312" w:cs="仿宋_GB2312"/>
          <w:color w:val="auto"/>
          <w:sz w:val="32"/>
          <w:szCs w:val="32"/>
          <w:lang w:val="en-US" w:eastAsia="zh-CN"/>
        </w:rPr>
        <w:t>6123.7</w:t>
      </w:r>
      <w:r>
        <w:rPr>
          <w:rFonts w:hint="eastAsia" w:ascii="仿宋_GB2312" w:hAnsi="仿宋_GB2312" w:eastAsia="仿宋_GB2312" w:cs="仿宋_GB2312"/>
          <w:color w:val="auto"/>
          <w:sz w:val="32"/>
          <w:szCs w:val="32"/>
          <w:lang w:eastAsia="zh-CN"/>
        </w:rPr>
        <w:t>万元，增加</w:t>
      </w:r>
      <w:r>
        <w:rPr>
          <w:rFonts w:hint="eastAsia" w:ascii="仿宋_GB2312" w:hAnsi="仿宋_GB2312" w:eastAsia="仿宋_GB2312" w:cs="仿宋_GB2312"/>
          <w:color w:val="auto"/>
          <w:sz w:val="32"/>
          <w:szCs w:val="32"/>
          <w:lang w:val="en-US" w:eastAsia="zh-CN"/>
        </w:rPr>
        <w:t>129.31</w:t>
      </w:r>
      <w:r>
        <w:rPr>
          <w:rFonts w:hint="eastAsia" w:ascii="仿宋_GB2312" w:hAnsi="仿宋_GB2312" w:eastAsia="仿宋_GB2312" w:cs="仿宋_GB2312"/>
          <w:color w:val="auto"/>
          <w:sz w:val="32"/>
          <w:szCs w:val="32"/>
          <w:lang w:eastAsia="zh-CN"/>
        </w:rPr>
        <w:t>%。主要变动原因是新院区建设投入较上年增加</w:t>
      </w:r>
      <w:r>
        <w:rPr>
          <w:rFonts w:hint="eastAsia" w:ascii="仿宋_GB2312" w:hAnsi="仿宋_GB2312" w:eastAsia="仿宋_GB2312" w:cs="仿宋_GB2312"/>
          <w:color w:val="auto"/>
          <w:sz w:val="32"/>
          <w:szCs w:val="32"/>
          <w:lang w:val="en-US" w:eastAsia="zh-CN"/>
        </w:rPr>
        <w:t>5251.94</w:t>
      </w:r>
      <w:r>
        <w:rPr>
          <w:rFonts w:hint="eastAsia" w:ascii="仿宋_GB2312" w:hAnsi="仿宋_GB2312" w:eastAsia="仿宋_GB2312" w:cs="仿宋_GB2312"/>
          <w:color w:val="auto"/>
          <w:sz w:val="32"/>
          <w:szCs w:val="32"/>
          <w:lang w:eastAsia="zh-CN"/>
        </w:rPr>
        <w:t>万元，两专科一中心项目投入增加</w:t>
      </w:r>
      <w:r>
        <w:rPr>
          <w:rFonts w:hint="eastAsia" w:ascii="仿宋_GB2312" w:hAnsi="仿宋_GB2312" w:eastAsia="仿宋_GB2312" w:cs="仿宋_GB2312"/>
          <w:color w:val="auto"/>
          <w:sz w:val="32"/>
          <w:szCs w:val="32"/>
          <w:lang w:val="en-US" w:eastAsia="zh-CN"/>
        </w:rPr>
        <w:t>100万元，治未病中心项目投入增加50万元。</w:t>
      </w:r>
    </w:p>
    <w:p>
      <w:pPr>
        <w:pStyle w:val="7"/>
        <w:rPr>
          <w:rFonts w:hint="default" w:ascii="仿宋" w:hAnsi="仿宋" w:eastAsia="仿宋" w:cs="Times New Roman"/>
          <w:color w:val="auto"/>
          <w:sz w:val="32"/>
          <w:szCs w:val="32"/>
          <w:highlight w:val="none"/>
          <w:lang w:val="en-US" w:eastAsia="zh-CN"/>
        </w:rPr>
      </w:pPr>
    </w:p>
    <w:p>
      <w:pPr>
        <w:pStyle w:val="7"/>
        <w:rPr>
          <w:rFonts w:hint="default" w:ascii="仿宋" w:hAnsi="仿宋" w:eastAsia="仿宋" w:cs="Times New Roman"/>
          <w:color w:val="auto"/>
          <w:sz w:val="32"/>
          <w:szCs w:val="32"/>
          <w:highlight w:val="none"/>
          <w:lang w:val="en-US" w:eastAsia="zh-CN"/>
        </w:rPr>
      </w:pPr>
    </w:p>
    <w:p>
      <w:pPr>
        <w:pStyle w:val="7"/>
        <w:rPr>
          <w:rFonts w:hint="default" w:ascii="仿宋" w:hAnsi="仿宋" w:eastAsia="仿宋" w:cs="Times New Roman"/>
          <w:color w:val="auto"/>
          <w:sz w:val="32"/>
          <w:szCs w:val="32"/>
          <w:highlight w:val="none"/>
          <w:lang w:val="en-US" w:eastAsia="zh-CN"/>
        </w:rPr>
      </w:pPr>
    </w:p>
    <w:p>
      <w:pPr>
        <w:pStyle w:val="7"/>
        <w:ind w:left="0" w:leftChars="0" w:firstLine="0" w:firstLineChars="0"/>
        <w:rPr>
          <w:rFonts w:hint="default" w:ascii="仿宋" w:hAnsi="仿宋" w:eastAsia="仿宋" w:cs="Times New Roman"/>
          <w:color w:val="auto"/>
          <w:sz w:val="32"/>
          <w:szCs w:val="32"/>
          <w:highlight w:val="none"/>
          <w:lang w:val="en-US" w:eastAsia="zh-CN"/>
        </w:rPr>
      </w:pPr>
    </w:p>
    <w:p>
      <w:p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（图1：收、支决算总计变动情况图）（柱状图）</w:t>
      </w:r>
    </w:p>
    <w:p>
      <w:pPr>
        <w:spacing w:line="240" w:lineRule="auto"/>
        <w:ind w:firstLine="0" w:firstLineChars="0"/>
        <w:jc w:val="left"/>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drawing>
          <wp:inline distT="0" distB="0" distL="114300" distR="114300">
            <wp:extent cx="5256530" cy="2654935"/>
            <wp:effectExtent l="4445" t="4445" r="15875" b="762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18"/>
        <w:numPr>
          <w:ilvl w:val="0"/>
          <w:numId w:val="3"/>
        </w:numPr>
        <w:spacing w:line="600" w:lineRule="exact"/>
        <w:ind w:firstLineChars="0"/>
        <w:outlineLvl w:val="1"/>
        <w:rPr>
          <w:rStyle w:val="17"/>
          <w:rFonts w:ascii="黑体" w:hAnsi="黑体" w:eastAsia="黑体"/>
          <w:b w:val="0"/>
          <w:color w:val="auto"/>
          <w:highlight w:val="none"/>
        </w:rPr>
      </w:pPr>
      <w:bookmarkStart w:id="21" w:name="_Toc18349"/>
      <w:bookmarkStart w:id="22" w:name="_Toc15396604"/>
      <w:bookmarkStart w:id="23" w:name="_Toc15377206"/>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入决算情况说明</w:t>
      </w:r>
      <w:bookmarkEnd w:id="21"/>
      <w:bookmarkEnd w:id="22"/>
      <w:bookmarkEnd w:id="23"/>
    </w:p>
    <w:p>
      <w:pPr>
        <w:spacing w:line="600" w:lineRule="exact"/>
        <w:ind w:firstLine="640" w:firstLineChars="200"/>
        <w:outlineLvl w:val="1"/>
        <w:rPr>
          <w:rFonts w:hint="eastAsia" w:ascii="仿宋_GB2312" w:hAnsi="仿宋_GB2312" w:eastAsia="仿宋_GB2312" w:cs="仿宋_GB2312"/>
          <w:color w:val="auto"/>
          <w:sz w:val="32"/>
          <w:szCs w:val="32"/>
          <w:highlight w:val="none"/>
          <w:lang w:val="en-US" w:eastAsia="zh-CN"/>
        </w:rPr>
      </w:pPr>
      <w:bookmarkStart w:id="24" w:name="_Toc8643"/>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年本年收入合计</w:t>
      </w:r>
      <w:r>
        <w:rPr>
          <w:rFonts w:hint="eastAsia" w:ascii="仿宋_GB2312" w:hAnsi="仿宋_GB2312" w:eastAsia="仿宋_GB2312" w:cs="仿宋_GB2312"/>
          <w:color w:val="auto"/>
          <w:sz w:val="32"/>
          <w:szCs w:val="32"/>
          <w:highlight w:val="none"/>
          <w:lang w:val="en-US" w:eastAsia="zh-CN"/>
        </w:rPr>
        <w:t>10588.69</w:t>
      </w:r>
      <w:r>
        <w:rPr>
          <w:rFonts w:hint="eastAsia" w:ascii="仿宋_GB2312" w:hAnsi="仿宋_GB2312" w:eastAsia="仿宋_GB2312" w:cs="仿宋_GB2312"/>
          <w:color w:val="auto"/>
          <w:sz w:val="32"/>
          <w:szCs w:val="32"/>
          <w:highlight w:val="none"/>
        </w:rPr>
        <w:t>万元，其中：一般公共预算财政拨款收入</w:t>
      </w:r>
      <w:r>
        <w:rPr>
          <w:rFonts w:hint="eastAsia" w:ascii="仿宋_GB2312" w:hAnsi="仿宋_GB2312" w:eastAsia="仿宋_GB2312" w:cs="仿宋_GB2312"/>
          <w:color w:val="auto"/>
          <w:sz w:val="32"/>
          <w:szCs w:val="32"/>
          <w:highlight w:val="none"/>
          <w:lang w:val="en-US" w:eastAsia="zh-CN"/>
        </w:rPr>
        <w:t>642.75</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eastAsia="zh-CN"/>
        </w:rPr>
        <w:t>比</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%；事业收入</w:t>
      </w:r>
      <w:r>
        <w:rPr>
          <w:rFonts w:hint="eastAsia" w:ascii="仿宋_GB2312" w:hAnsi="仿宋_GB2312" w:eastAsia="仿宋_GB2312" w:cs="仿宋_GB2312"/>
          <w:color w:val="auto"/>
          <w:sz w:val="32"/>
          <w:szCs w:val="32"/>
          <w:highlight w:val="none"/>
          <w:lang w:val="en-US" w:eastAsia="zh-CN"/>
        </w:rPr>
        <w:t>3615.26</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34</w:t>
      </w:r>
      <w:r>
        <w:rPr>
          <w:rFonts w:hint="eastAsia" w:ascii="仿宋_GB2312" w:hAnsi="仿宋_GB2312" w:eastAsia="仿宋_GB2312" w:cs="仿宋_GB2312"/>
          <w:color w:val="auto"/>
          <w:sz w:val="32"/>
          <w:szCs w:val="32"/>
          <w:highlight w:val="none"/>
        </w:rPr>
        <w:t>%</w:t>
      </w:r>
      <w:bookmarkEnd w:id="24"/>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6330.68万元，占比60%。</w:t>
      </w:r>
    </w:p>
    <w:p>
      <w:pPr>
        <w:pStyle w:val="2"/>
        <w:rPr>
          <w:rFonts w:hint="eastAsia"/>
          <w:lang w:eastAsia="zh-CN"/>
        </w:rPr>
      </w:pPr>
    </w:p>
    <w:p>
      <w:pPr>
        <w:pStyle w:val="2"/>
        <w:rPr>
          <w:rFonts w:hint="eastAsia"/>
          <w:lang w:eastAsia="zh-CN"/>
        </w:rPr>
      </w:pPr>
    </w:p>
    <w:p>
      <w:pPr>
        <w:spacing w:line="600" w:lineRule="exact"/>
        <w:ind w:firstLine="640" w:firstLineChars="200"/>
        <w:jc w:val="center"/>
        <w:rPr>
          <w:rFonts w:hint="eastAsia" w:eastAsiaTheme="minorEastAsia"/>
          <w:color w:val="auto"/>
          <w:lang w:eastAsia="zh-CN"/>
        </w:rPr>
      </w:pPr>
      <w:r>
        <w:rPr>
          <w:rFonts w:hint="eastAsia" w:ascii="仿宋_GB2312" w:hAnsi="仿宋_GB2312" w:eastAsia="仿宋_GB2312" w:cs="仿宋_GB2312"/>
          <w:color w:val="auto"/>
          <w:sz w:val="32"/>
          <w:szCs w:val="32"/>
          <w:highlight w:val="none"/>
        </w:rPr>
        <w:t>（图2：收入决算结构图）（饼状图）</w:t>
      </w:r>
      <w:r>
        <w:rPr>
          <w:rFonts w:hint="eastAsia" w:eastAsiaTheme="minorEastAsia"/>
          <w:color w:val="auto"/>
          <w:lang w:eastAsia="zh-CN"/>
        </w:rPr>
        <w:drawing>
          <wp:anchor distT="0" distB="0" distL="114300" distR="114300" simplePos="0" relativeHeight="251659264" behindDoc="0" locked="0" layoutInCell="1" allowOverlap="1">
            <wp:simplePos x="0" y="0"/>
            <wp:positionH relativeFrom="column">
              <wp:posOffset>271780</wp:posOffset>
            </wp:positionH>
            <wp:positionV relativeFrom="paragraph">
              <wp:posOffset>84455</wp:posOffset>
            </wp:positionV>
            <wp:extent cx="5256530" cy="2959735"/>
            <wp:effectExtent l="4445" t="4445" r="15875" b="762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18"/>
        <w:numPr>
          <w:ilvl w:val="0"/>
          <w:numId w:val="0"/>
        </w:numPr>
        <w:spacing w:line="600" w:lineRule="exact"/>
        <w:ind w:left="640" w:leftChars="0"/>
        <w:outlineLvl w:val="1"/>
        <w:rPr>
          <w:rStyle w:val="17"/>
          <w:rFonts w:hint="eastAsia" w:ascii="黑体" w:hAnsi="黑体" w:eastAsia="黑体"/>
          <w:b w:val="0"/>
          <w:color w:val="auto"/>
          <w:highlight w:val="none"/>
          <w:lang w:eastAsia="zh-CN"/>
        </w:rPr>
      </w:pPr>
      <w:bookmarkStart w:id="25" w:name="_Toc23803"/>
      <w:bookmarkStart w:id="26" w:name="_Toc15396605"/>
      <w:bookmarkStart w:id="27" w:name="_Toc15377207"/>
    </w:p>
    <w:p>
      <w:pPr>
        <w:pStyle w:val="18"/>
        <w:numPr>
          <w:ilvl w:val="0"/>
          <w:numId w:val="3"/>
        </w:numPr>
        <w:spacing w:line="600" w:lineRule="exact"/>
        <w:ind w:firstLineChars="0"/>
        <w:outlineLvl w:val="1"/>
        <w:rPr>
          <w:rStyle w:val="17"/>
          <w:rFonts w:ascii="黑体" w:hAnsi="黑体" w:eastAsia="黑体"/>
          <w:b w:val="0"/>
          <w:color w:val="auto"/>
          <w:highlight w:val="none"/>
        </w:rPr>
      </w:pPr>
      <w:r>
        <w:rPr>
          <w:rFonts w:hint="eastAsia" w:ascii="黑体" w:hAnsi="黑体" w:eastAsia="黑体"/>
          <w:color w:val="auto"/>
          <w:sz w:val="32"/>
          <w:szCs w:val="32"/>
          <w:highlight w:val="none"/>
        </w:rPr>
        <w:t>支</w:t>
      </w:r>
      <w:r>
        <w:rPr>
          <w:rStyle w:val="17"/>
          <w:rFonts w:hint="eastAsia" w:ascii="黑体" w:hAnsi="黑体" w:eastAsia="黑体"/>
          <w:b w:val="0"/>
          <w:color w:val="auto"/>
          <w:highlight w:val="none"/>
        </w:rPr>
        <w:t>出决算情况说明</w:t>
      </w:r>
      <w:bookmarkEnd w:id="25"/>
      <w:bookmarkEnd w:id="26"/>
      <w:bookmarkEnd w:id="27"/>
    </w:p>
    <w:p>
      <w:pPr>
        <w:spacing w:line="600" w:lineRule="exact"/>
        <w:ind w:firstLine="640" w:firstLineChars="200"/>
        <w:outlineLvl w:val="1"/>
        <w:rPr>
          <w:rFonts w:hint="eastAsia" w:ascii="仿宋_GB2312" w:hAnsi="仿宋_GB2312" w:eastAsia="仿宋_GB2312" w:cs="仿宋_GB2312"/>
          <w:color w:val="auto"/>
          <w:sz w:val="32"/>
          <w:szCs w:val="32"/>
          <w:highlight w:val="none"/>
          <w:shd w:val="pct10" w:color="auto" w:fill="FFFFFF"/>
        </w:rPr>
      </w:pPr>
      <w:bookmarkStart w:id="28" w:name="_Toc664"/>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年本年支出合计</w:t>
      </w:r>
      <w:r>
        <w:rPr>
          <w:rFonts w:hint="eastAsia" w:ascii="仿宋_GB2312" w:hAnsi="仿宋_GB2312" w:eastAsia="仿宋_GB2312" w:cs="仿宋_GB2312"/>
          <w:color w:val="auto"/>
          <w:sz w:val="32"/>
          <w:szCs w:val="32"/>
          <w:highlight w:val="none"/>
          <w:lang w:val="en-US" w:eastAsia="zh-CN"/>
        </w:rPr>
        <w:t>10859.42</w:t>
      </w:r>
      <w:r>
        <w:rPr>
          <w:rFonts w:hint="eastAsia" w:ascii="仿宋_GB2312" w:hAnsi="仿宋_GB2312" w:eastAsia="仿宋_GB2312" w:cs="仿宋_GB2312"/>
          <w:color w:val="auto"/>
          <w:sz w:val="32"/>
          <w:szCs w:val="32"/>
          <w:highlight w:val="none"/>
        </w:rPr>
        <w:t>万元，其中：基本支出</w:t>
      </w:r>
      <w:r>
        <w:rPr>
          <w:rFonts w:hint="eastAsia" w:ascii="仿宋_GB2312" w:hAnsi="仿宋_GB2312" w:eastAsia="仿宋_GB2312" w:cs="仿宋_GB2312"/>
          <w:color w:val="auto"/>
          <w:sz w:val="32"/>
          <w:szCs w:val="32"/>
          <w:highlight w:val="none"/>
          <w:lang w:val="en-US" w:eastAsia="zh-CN"/>
        </w:rPr>
        <w:t>4377.01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40</w:t>
      </w:r>
      <w:r>
        <w:rPr>
          <w:rFonts w:hint="eastAsia" w:ascii="仿宋_GB2312" w:hAnsi="仿宋_GB2312" w:eastAsia="仿宋_GB2312" w:cs="仿宋_GB2312"/>
          <w:color w:val="auto"/>
          <w:sz w:val="32"/>
          <w:szCs w:val="32"/>
          <w:highlight w:val="none"/>
        </w:rPr>
        <w:t>%；项目支出</w:t>
      </w:r>
      <w:r>
        <w:rPr>
          <w:rFonts w:hint="eastAsia" w:ascii="仿宋_GB2312" w:hAnsi="仿宋_GB2312" w:eastAsia="仿宋_GB2312" w:cs="仿宋_GB2312"/>
          <w:color w:val="auto"/>
          <w:sz w:val="32"/>
          <w:szCs w:val="32"/>
          <w:highlight w:val="none"/>
          <w:lang w:val="en-US" w:eastAsia="zh-CN"/>
        </w:rPr>
        <w:t>6482.41</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60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bookmarkEnd w:id="28"/>
    </w:p>
    <w:p>
      <w:pPr>
        <w:spacing w:line="600" w:lineRule="exact"/>
        <w:rPr>
          <w:rFonts w:hint="eastAsia" w:ascii="仿宋" w:hAnsi="仿宋" w:eastAsia="仿宋"/>
          <w:color w:val="auto"/>
          <w:sz w:val="32"/>
          <w:szCs w:val="32"/>
          <w:highlight w:val="none"/>
        </w:rPr>
      </w:pPr>
    </w:p>
    <w:p>
      <w:pPr>
        <w:pStyle w:val="2"/>
        <w:rPr>
          <w:rFonts w:hint="eastAsia"/>
          <w:color w:val="auto"/>
        </w:rPr>
      </w:pPr>
    </w:p>
    <w:p>
      <w:pPr>
        <w:spacing w:line="600" w:lineRule="exact"/>
        <w:ind w:firstLine="1280" w:firstLineChars="4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（图3：支出决算结构图）（饼状图）</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600" w:lineRule="exact"/>
        <w:ind w:firstLine="640" w:firstLineChars="200"/>
        <w:outlineLvl w:val="1"/>
        <w:rPr>
          <w:rStyle w:val="17"/>
          <w:rFonts w:ascii="黑体" w:hAnsi="黑体" w:eastAsia="黑体"/>
          <w:b w:val="0"/>
          <w:color w:val="auto"/>
          <w:highlight w:val="none"/>
        </w:rPr>
      </w:pPr>
      <w:bookmarkStart w:id="29" w:name="_Toc15377208"/>
      <w:bookmarkStart w:id="30" w:name="_Toc15396606"/>
      <w:bookmarkStart w:id="31" w:name="_Toc12515"/>
      <w:r>
        <w:rPr>
          <w:rFonts w:hint="eastAsia" w:ascii="黑体" w:hAnsi="黑体" w:eastAsia="黑体"/>
          <w:color w:val="auto"/>
          <w:sz w:val="32"/>
          <w:szCs w:val="32"/>
          <w:highlight w:val="none"/>
        </w:rPr>
        <w:t>四、财</w:t>
      </w:r>
      <w:r>
        <w:rPr>
          <w:rStyle w:val="17"/>
          <w:rFonts w:hint="eastAsia" w:ascii="黑体" w:hAnsi="黑体" w:eastAsia="黑体"/>
          <w:b w:val="0"/>
          <w:color w:val="auto"/>
          <w:highlight w:val="none"/>
        </w:rPr>
        <w:t>政拨款收入支出决算总体情况说明</w:t>
      </w:r>
      <w:bookmarkEnd w:id="29"/>
      <w:bookmarkEnd w:id="30"/>
      <w:bookmarkEnd w:id="31"/>
    </w:p>
    <w:p>
      <w:p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年财政拨款收</w:t>
      </w:r>
      <w:r>
        <w:rPr>
          <w:rFonts w:hint="eastAsia" w:ascii="仿宋_GB2312" w:hAnsi="仿宋_GB2312" w:eastAsia="仿宋_GB2312" w:cs="仿宋_GB2312"/>
          <w:color w:val="auto"/>
          <w:sz w:val="32"/>
          <w:szCs w:val="32"/>
          <w:highlight w:val="none"/>
          <w:lang w:eastAsia="zh-CN"/>
        </w:rPr>
        <w:t>入</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val="en-US" w:eastAsia="zh-CN"/>
        </w:rPr>
        <w:t>642.75</w:t>
      </w:r>
      <w:r>
        <w:rPr>
          <w:rFonts w:hint="eastAsia" w:ascii="仿宋_GB2312" w:hAnsi="仿宋_GB2312" w:eastAsia="仿宋_GB2312" w:cs="仿宋_GB2312"/>
          <w:color w:val="auto"/>
          <w:sz w:val="32"/>
          <w:szCs w:val="32"/>
          <w:highlight w:val="none"/>
        </w:rPr>
        <w:t>万元。与20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年相比，财政拨款收</w:t>
      </w:r>
      <w:r>
        <w:rPr>
          <w:rFonts w:hint="eastAsia" w:ascii="仿宋_GB2312" w:hAnsi="仿宋_GB2312" w:eastAsia="仿宋_GB2312" w:cs="仿宋_GB2312"/>
          <w:color w:val="auto"/>
          <w:sz w:val="32"/>
          <w:szCs w:val="32"/>
          <w:highlight w:val="none"/>
          <w:lang w:eastAsia="zh-CN"/>
        </w:rPr>
        <w:t>入</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267.69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71.37</w:t>
      </w:r>
      <w:r>
        <w:rPr>
          <w:rFonts w:hint="eastAsia" w:ascii="仿宋_GB2312" w:hAnsi="仿宋_GB2312" w:eastAsia="仿宋_GB2312" w:cs="仿宋_GB2312"/>
          <w:color w:val="auto"/>
          <w:sz w:val="32"/>
          <w:szCs w:val="32"/>
          <w:highlight w:val="none"/>
        </w:rPr>
        <w:t>%。主</w:t>
      </w:r>
      <w:r>
        <w:rPr>
          <w:rFonts w:hint="eastAsia" w:ascii="仿宋_GB2312" w:hAnsi="仿宋_GB2312" w:eastAsia="仿宋_GB2312" w:cs="仿宋_GB2312"/>
          <w:color w:val="auto"/>
          <w:sz w:val="32"/>
          <w:szCs w:val="32"/>
          <w:highlight w:val="none"/>
          <w:lang w:val="en-US" w:eastAsia="zh-CN"/>
        </w:rPr>
        <w:t>要变动原因是财政基本收入增加82.51万元，财政项目收入增加两专科一中心项目经费100.00万元，治未病中心项目经费50.00万元，公立医院综合改革资金42.23万元。</w:t>
      </w:r>
    </w:p>
    <w:p>
      <w:p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年财政拨款支</w:t>
      </w:r>
      <w:r>
        <w:rPr>
          <w:rFonts w:hint="eastAsia" w:ascii="仿宋" w:hAnsi="仿宋" w:eastAsia="仿宋"/>
          <w:color w:val="auto"/>
          <w:sz w:val="32"/>
          <w:szCs w:val="32"/>
          <w:highlight w:val="none"/>
          <w:lang w:eastAsia="zh-CN"/>
        </w:rPr>
        <w:t>出</w:t>
      </w:r>
      <w:r>
        <w:rPr>
          <w:rFonts w:hint="eastAsia" w:ascii="仿宋" w:hAnsi="仿宋" w:eastAsia="仿宋"/>
          <w:color w:val="auto"/>
          <w:sz w:val="32"/>
          <w:szCs w:val="32"/>
          <w:highlight w:val="none"/>
        </w:rPr>
        <w:t>总计</w:t>
      </w:r>
      <w:r>
        <w:rPr>
          <w:rFonts w:hint="eastAsia" w:ascii="仿宋_GB2312" w:hAnsi="仿宋_GB2312" w:eastAsia="仿宋_GB2312" w:cs="仿宋_GB2312"/>
          <w:color w:val="auto"/>
          <w:sz w:val="32"/>
          <w:szCs w:val="32"/>
          <w:highlight w:val="none"/>
          <w:lang w:val="en-US" w:eastAsia="zh-CN"/>
        </w:rPr>
        <w:t>642.75</w:t>
      </w:r>
      <w:r>
        <w:rPr>
          <w:rFonts w:hint="eastAsia" w:ascii="仿宋" w:hAnsi="仿宋" w:eastAsia="仿宋"/>
          <w:color w:val="auto"/>
          <w:sz w:val="32"/>
          <w:szCs w:val="32"/>
          <w:highlight w:val="none"/>
        </w:rPr>
        <w:t>万元。</w:t>
      </w:r>
      <w:r>
        <w:rPr>
          <w:rFonts w:hint="eastAsia" w:ascii="仿宋_GB2312" w:hAnsi="仿宋_GB2312" w:eastAsia="仿宋_GB2312" w:cs="仿宋_GB2312"/>
          <w:color w:val="auto"/>
          <w:sz w:val="32"/>
          <w:szCs w:val="32"/>
          <w:highlight w:val="none"/>
        </w:rPr>
        <w:t>与20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年相比，财政拨款收</w:t>
      </w:r>
      <w:r>
        <w:rPr>
          <w:rFonts w:hint="eastAsia" w:ascii="仿宋_GB2312" w:hAnsi="仿宋_GB2312" w:eastAsia="仿宋_GB2312" w:cs="仿宋_GB2312"/>
          <w:color w:val="auto"/>
          <w:sz w:val="32"/>
          <w:szCs w:val="32"/>
          <w:highlight w:val="none"/>
          <w:lang w:eastAsia="zh-CN"/>
        </w:rPr>
        <w:t>入</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267.69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71.37</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主</w:t>
      </w:r>
      <w:r>
        <w:rPr>
          <w:rFonts w:hint="eastAsia" w:ascii="仿宋_GB2312" w:hAnsi="仿宋_GB2312" w:eastAsia="仿宋_GB2312" w:cs="仿宋_GB2312"/>
          <w:color w:val="auto"/>
          <w:sz w:val="32"/>
          <w:szCs w:val="32"/>
          <w:highlight w:val="none"/>
          <w:lang w:val="en-US" w:eastAsia="zh-CN"/>
        </w:rPr>
        <w:t>要变动原因是财政基本收入增加82.51万元，财政项目收入增加两专科一中心项目经费100.00万元，治未病中心项目经费50.00万元，公立医院综合改革资金42.23万元。</w:t>
      </w:r>
    </w:p>
    <w:p>
      <w:pPr>
        <w:pStyle w:val="2"/>
        <w:rPr>
          <w:rFonts w:hint="eastAsia"/>
          <w:color w:val="auto"/>
          <w:lang w:val="en-US" w:eastAsia="zh-CN"/>
        </w:rPr>
      </w:pPr>
    </w:p>
    <w:p>
      <w:pPr>
        <w:spacing w:afterAutospacing="0" w:line="600" w:lineRule="exact"/>
        <w:ind w:firstLine="320" w:firstLineChars="100"/>
        <w:rPr>
          <w:color w:val="auto"/>
        </w:rPr>
      </w:pPr>
      <w:r>
        <w:rPr>
          <w:rFonts w:hint="eastAsia" w:ascii="仿宋_GB2312" w:hAnsi="仿宋_GB2312" w:eastAsia="仿宋_GB2312" w:cs="仿宋_GB2312"/>
          <w:color w:val="auto"/>
          <w:sz w:val="32"/>
          <w:szCs w:val="32"/>
          <w:highlight w:val="none"/>
        </w:rPr>
        <w:t>（图4：财政拨款收、支决算总计变动情况）（柱状图）</w:t>
      </w:r>
    </w:p>
    <w:p>
      <w:pPr>
        <w:spacing w:before="4371" w:beforeLines="1401" w:beforeAutospacing="0" w:line="600" w:lineRule="exact"/>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rPr>
          <w:rFonts w:ascii="仿宋" w:hAnsi="仿宋" w:eastAsia="仿宋"/>
          <w:b/>
          <w:color w:val="auto"/>
          <w:sz w:val="32"/>
          <w:szCs w:val="32"/>
          <w:highlight w:val="none"/>
        </w:rPr>
      </w:pPr>
    </w:p>
    <w:p>
      <w:pPr>
        <w:spacing w:line="600" w:lineRule="exact"/>
        <w:ind w:firstLine="640" w:firstLineChars="200"/>
        <w:outlineLvl w:val="1"/>
        <w:rPr>
          <w:rStyle w:val="17"/>
          <w:rFonts w:ascii="黑体" w:hAnsi="黑体" w:eastAsia="黑体"/>
          <w:b w:val="0"/>
          <w:color w:val="auto"/>
          <w:highlight w:val="none"/>
        </w:rPr>
      </w:pPr>
      <w:bookmarkStart w:id="32" w:name="_Toc6604"/>
      <w:bookmarkStart w:id="33" w:name="_Toc15377209"/>
      <w:bookmarkStart w:id="34"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般公共预算财政拨款支出决算情况说明</w:t>
      </w:r>
      <w:bookmarkEnd w:id="32"/>
      <w:bookmarkEnd w:id="33"/>
      <w:bookmarkEnd w:id="34"/>
    </w:p>
    <w:p>
      <w:pPr>
        <w:spacing w:line="600" w:lineRule="exact"/>
        <w:ind w:firstLine="643" w:firstLineChars="200"/>
        <w:outlineLvl w:val="2"/>
        <w:rPr>
          <w:rFonts w:hint="eastAsia" w:ascii="楷体_GB2312" w:hAnsi="楷体_GB2312" w:eastAsia="楷体_GB2312" w:cs="楷体_GB2312"/>
          <w:b/>
          <w:color w:val="auto"/>
          <w:sz w:val="32"/>
          <w:szCs w:val="32"/>
          <w:highlight w:val="none"/>
        </w:rPr>
      </w:pPr>
      <w:bookmarkStart w:id="35" w:name="_Toc15377210"/>
      <w:r>
        <w:rPr>
          <w:rFonts w:hint="eastAsia" w:ascii="楷体_GB2312" w:hAnsi="楷体_GB2312" w:eastAsia="楷体_GB2312" w:cs="楷体_GB2312"/>
          <w:b/>
          <w:color w:val="auto"/>
          <w:sz w:val="32"/>
          <w:szCs w:val="32"/>
          <w:highlight w:val="none"/>
        </w:rPr>
        <w:t>（一）一般公共预算财政拨款支出决算总体情况</w:t>
      </w:r>
      <w:bookmarkEnd w:id="35"/>
    </w:p>
    <w:p>
      <w:p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年一般公共预算财政拨款支出</w:t>
      </w:r>
      <w:r>
        <w:rPr>
          <w:rFonts w:hint="eastAsia" w:ascii="仿宋_GB2312" w:hAnsi="仿宋_GB2312" w:eastAsia="仿宋_GB2312" w:cs="仿宋_GB2312"/>
          <w:color w:val="auto"/>
          <w:sz w:val="32"/>
          <w:szCs w:val="32"/>
          <w:highlight w:val="none"/>
          <w:lang w:val="en-US" w:eastAsia="zh-CN"/>
        </w:rPr>
        <w:t>642.75</w:t>
      </w:r>
      <w:r>
        <w:rPr>
          <w:rFonts w:hint="eastAsia" w:ascii="仿宋_GB2312" w:hAnsi="仿宋_GB2312" w:eastAsia="仿宋_GB2312" w:cs="仿宋_GB2312"/>
          <w:color w:val="auto"/>
          <w:sz w:val="32"/>
          <w:szCs w:val="32"/>
          <w:highlight w:val="none"/>
        </w:rPr>
        <w:t>万元，占本年支出合计的</w:t>
      </w:r>
      <w:r>
        <w:rPr>
          <w:rFonts w:hint="eastAsia" w:ascii="仿宋_GB2312" w:hAnsi="仿宋_GB2312" w:eastAsia="仿宋_GB2312" w:cs="仿宋_GB2312"/>
          <w:color w:val="auto"/>
          <w:sz w:val="32"/>
          <w:szCs w:val="32"/>
          <w:highlight w:val="none"/>
          <w:lang w:val="en-US" w:eastAsia="zh-CN"/>
        </w:rPr>
        <w:t>5.92</w:t>
      </w:r>
      <w:r>
        <w:rPr>
          <w:rFonts w:hint="eastAsia" w:ascii="仿宋_GB2312" w:hAnsi="仿宋_GB2312" w:eastAsia="仿宋_GB2312" w:cs="仿宋_GB2312"/>
          <w:color w:val="auto"/>
          <w:sz w:val="32"/>
          <w:szCs w:val="32"/>
          <w:highlight w:val="none"/>
        </w:rPr>
        <w:t>%。与20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年相比，财政拨款收</w:t>
      </w:r>
      <w:r>
        <w:rPr>
          <w:rFonts w:hint="eastAsia" w:ascii="仿宋_GB2312" w:hAnsi="仿宋_GB2312" w:eastAsia="仿宋_GB2312" w:cs="仿宋_GB2312"/>
          <w:color w:val="auto"/>
          <w:sz w:val="32"/>
          <w:szCs w:val="32"/>
          <w:highlight w:val="none"/>
          <w:lang w:eastAsia="zh-CN"/>
        </w:rPr>
        <w:t>入</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267.69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71.37</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主</w:t>
      </w:r>
      <w:r>
        <w:rPr>
          <w:rFonts w:hint="eastAsia" w:ascii="仿宋_GB2312" w:hAnsi="仿宋_GB2312" w:eastAsia="仿宋_GB2312" w:cs="仿宋_GB2312"/>
          <w:color w:val="auto"/>
          <w:sz w:val="32"/>
          <w:szCs w:val="32"/>
          <w:highlight w:val="none"/>
          <w:lang w:val="en-US" w:eastAsia="zh-CN"/>
        </w:rPr>
        <w:t>要变动原因是财政基本收入增加82.51万元，财政项目收入增加两专科一中心项目经费100.00万元，治未病中心项目经费50.00万元，公立医院综合改革资金42.23万元。</w:t>
      </w:r>
    </w:p>
    <w:p>
      <w:pPr>
        <w:spacing w:line="600" w:lineRule="exact"/>
        <w:ind w:firstLine="640" w:firstLineChars="200"/>
        <w:rPr>
          <w:rFonts w:hint="eastAsia" w:ascii="仿宋" w:hAnsi="仿宋" w:eastAsia="仿宋"/>
          <w:color w:val="auto"/>
          <w:sz w:val="32"/>
          <w:szCs w:val="32"/>
          <w:highlight w:val="none"/>
        </w:rPr>
      </w:pPr>
    </w:p>
    <w:p>
      <w:pPr>
        <w:pStyle w:val="3"/>
        <w:ind w:left="0" w:leftChars="0" w:firstLine="0" w:firstLineChars="0"/>
        <w:rPr>
          <w:rFonts w:hint="eastAsia" w:ascii="仿宋" w:hAnsi="仿宋" w:eastAsia="仿宋"/>
          <w:color w:val="auto"/>
          <w:sz w:val="32"/>
          <w:szCs w:val="32"/>
          <w:highlight w:val="none"/>
        </w:rPr>
      </w:pPr>
    </w:p>
    <w:p>
      <w:pPr>
        <w:spacing w:line="60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（图5：一般公共预算财政拨款支出决算变动情况）</w:t>
      </w:r>
    </w:p>
    <w:p>
      <w:pPr>
        <w:spacing w:line="600" w:lineRule="exact"/>
        <w:ind w:firstLine="3520" w:firstLineChars="11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（柱状图）</w:t>
      </w:r>
    </w:p>
    <w:p>
      <w:pPr>
        <w:pStyle w:val="2"/>
        <w:rPr>
          <w:rFonts w:hint="eastAsia"/>
          <w:color w:val="auto"/>
          <w:lang w:eastAsia="zh-CN"/>
        </w:rPr>
      </w:pPr>
    </w:p>
    <w:p>
      <w:pPr>
        <w:spacing w:before="4371" w:beforeLines="1401" w:beforeAutospacing="0" w:afterAutospacing="0" w:line="600" w:lineRule="exact"/>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drawing>
          <wp:inline distT="0" distB="0" distL="114300" distR="114300">
            <wp:extent cx="5256530" cy="3035935"/>
            <wp:effectExtent l="4445" t="4445" r="15875" b="762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3" w:firstLineChars="200"/>
        <w:outlineLvl w:val="2"/>
        <w:rPr>
          <w:rFonts w:hint="eastAsia" w:ascii="楷体_GB2312" w:hAnsi="楷体_GB2312" w:eastAsia="楷体_GB2312" w:cs="楷体_GB2312"/>
          <w:b/>
          <w:color w:val="auto"/>
          <w:sz w:val="32"/>
          <w:szCs w:val="32"/>
          <w:highlight w:val="none"/>
        </w:rPr>
      </w:pPr>
      <w:bookmarkStart w:id="36" w:name="_Toc15377211"/>
      <w:r>
        <w:rPr>
          <w:rFonts w:hint="eastAsia" w:ascii="楷体_GB2312" w:hAnsi="楷体_GB2312" w:eastAsia="楷体_GB2312" w:cs="楷体_GB2312"/>
          <w:b/>
          <w:color w:val="auto"/>
          <w:sz w:val="32"/>
          <w:szCs w:val="32"/>
          <w:highlight w:val="none"/>
        </w:rPr>
        <w:t>（二）一般公共预算财政拨款支出决算结构情况</w:t>
      </w:r>
      <w:bookmarkEnd w:id="36"/>
    </w:p>
    <w:p>
      <w:pPr>
        <w:spacing w:line="600" w:lineRule="exact"/>
        <w:ind w:firstLine="640"/>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年一般公共预算财政拨款支出</w:t>
      </w:r>
      <w:r>
        <w:rPr>
          <w:rFonts w:hint="eastAsia" w:ascii="仿宋_GB2312" w:hAnsi="仿宋_GB2312" w:eastAsia="仿宋_GB2312" w:cs="仿宋_GB2312"/>
          <w:color w:val="auto"/>
          <w:sz w:val="32"/>
          <w:szCs w:val="32"/>
          <w:highlight w:val="none"/>
          <w:lang w:val="en-US" w:eastAsia="zh-CN"/>
        </w:rPr>
        <w:t>642.75</w:t>
      </w:r>
      <w:r>
        <w:rPr>
          <w:rFonts w:hint="eastAsia" w:ascii="仿宋_GB2312" w:hAnsi="仿宋_GB2312" w:eastAsia="仿宋_GB2312" w:cs="仿宋_GB2312"/>
          <w:color w:val="auto"/>
          <w:sz w:val="32"/>
          <w:szCs w:val="32"/>
          <w:highlight w:val="none"/>
        </w:rPr>
        <w:t>万元，主要用于以下方面:</w:t>
      </w:r>
      <w:r>
        <w:rPr>
          <w:rFonts w:hint="eastAsia" w:ascii="仿宋_GB2312" w:hAnsi="仿宋_GB2312" w:eastAsia="仿宋_GB2312" w:cs="仿宋_GB2312"/>
          <w:b w:val="0"/>
          <w:bCs/>
          <w:color w:val="auto"/>
          <w:sz w:val="32"/>
          <w:szCs w:val="32"/>
          <w:highlight w:val="none"/>
        </w:rPr>
        <w:t>社会保障和就业支出</w:t>
      </w:r>
      <w:r>
        <w:rPr>
          <w:rFonts w:hint="eastAsia" w:ascii="仿宋_GB2312" w:hAnsi="仿宋_GB2312" w:eastAsia="仿宋_GB2312" w:cs="仿宋_GB2312"/>
          <w:b w:val="0"/>
          <w:bCs/>
          <w:color w:val="auto"/>
          <w:sz w:val="32"/>
          <w:szCs w:val="32"/>
          <w:highlight w:val="none"/>
          <w:lang w:val="en-US" w:eastAsia="zh-CN"/>
        </w:rPr>
        <w:t>91.33</w:t>
      </w:r>
      <w:r>
        <w:rPr>
          <w:rFonts w:hint="eastAsia" w:ascii="仿宋_GB2312" w:hAnsi="仿宋_GB2312" w:eastAsia="仿宋_GB2312" w:cs="仿宋_GB2312"/>
          <w:b w:val="0"/>
          <w:bCs/>
          <w:color w:val="auto"/>
          <w:sz w:val="32"/>
          <w:szCs w:val="32"/>
          <w:highlight w:val="none"/>
        </w:rPr>
        <w:t>万元，占</w:t>
      </w:r>
      <w:r>
        <w:rPr>
          <w:rFonts w:hint="eastAsia" w:ascii="仿宋_GB2312" w:hAnsi="仿宋_GB2312" w:eastAsia="仿宋_GB2312" w:cs="仿宋_GB2312"/>
          <w:b w:val="0"/>
          <w:bCs/>
          <w:color w:val="auto"/>
          <w:sz w:val="32"/>
          <w:szCs w:val="32"/>
          <w:highlight w:val="none"/>
          <w:lang w:val="en-US" w:eastAsia="zh-CN"/>
        </w:rPr>
        <w:t>14</w:t>
      </w:r>
      <w:r>
        <w:rPr>
          <w:rFonts w:hint="eastAsia" w:ascii="仿宋_GB2312" w:hAnsi="仿宋_GB2312" w:eastAsia="仿宋_GB2312" w:cs="仿宋_GB2312"/>
          <w:b w:val="0"/>
          <w:bCs/>
          <w:color w:val="auto"/>
          <w:sz w:val="32"/>
          <w:szCs w:val="32"/>
          <w:highlight w:val="none"/>
        </w:rPr>
        <w:t>%；卫生健康支出</w:t>
      </w:r>
      <w:r>
        <w:rPr>
          <w:rFonts w:hint="eastAsia" w:ascii="仿宋_GB2312" w:hAnsi="仿宋_GB2312" w:eastAsia="仿宋_GB2312" w:cs="仿宋_GB2312"/>
          <w:b w:val="0"/>
          <w:bCs/>
          <w:color w:val="auto"/>
          <w:sz w:val="32"/>
          <w:szCs w:val="32"/>
          <w:highlight w:val="none"/>
          <w:lang w:val="en-US" w:eastAsia="zh-CN"/>
        </w:rPr>
        <w:t>551.42</w:t>
      </w:r>
      <w:r>
        <w:rPr>
          <w:rFonts w:hint="eastAsia" w:ascii="仿宋_GB2312" w:hAnsi="仿宋_GB2312" w:eastAsia="仿宋_GB2312" w:cs="仿宋_GB2312"/>
          <w:b w:val="0"/>
          <w:bCs/>
          <w:color w:val="auto"/>
          <w:sz w:val="32"/>
          <w:szCs w:val="32"/>
          <w:highlight w:val="none"/>
        </w:rPr>
        <w:t>万元，占</w:t>
      </w:r>
      <w:r>
        <w:rPr>
          <w:rFonts w:hint="eastAsia" w:ascii="仿宋_GB2312" w:hAnsi="仿宋_GB2312" w:eastAsia="仿宋_GB2312" w:cs="仿宋_GB2312"/>
          <w:b w:val="0"/>
          <w:bCs/>
          <w:color w:val="auto"/>
          <w:sz w:val="32"/>
          <w:szCs w:val="32"/>
          <w:highlight w:val="none"/>
          <w:lang w:val="en-US" w:eastAsia="zh-CN"/>
        </w:rPr>
        <w:t>86</w:t>
      </w:r>
      <w:r>
        <w:rPr>
          <w:rFonts w:hint="eastAsia" w:ascii="仿宋_GB2312" w:hAnsi="仿宋_GB2312" w:eastAsia="仿宋_GB2312" w:cs="仿宋_GB2312"/>
          <w:b w:val="0"/>
          <w:bCs/>
          <w:color w:val="auto"/>
          <w:sz w:val="32"/>
          <w:szCs w:val="32"/>
          <w:highlight w:val="none"/>
        </w:rPr>
        <w:t>%。</w:t>
      </w: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（图6：一般公共预算财政拨款支出决算结构）</w:t>
      </w:r>
    </w:p>
    <w:p>
      <w:pPr>
        <w:spacing w:line="600" w:lineRule="exact"/>
        <w:ind w:firstLine="640" w:firstLineChars="200"/>
        <w:jc w:val="cente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（饼状图）</w:t>
      </w:r>
    </w:p>
    <w:p>
      <w:pPr>
        <w:spacing w:afterAutospacing="0" w:line="600" w:lineRule="exact"/>
        <w:outlineLvl w:val="9"/>
        <w:rPr>
          <w:rFonts w:hint="eastAsia" w:ascii="仿宋" w:hAnsi="仿宋" w:eastAsia="仿宋"/>
          <w:b/>
          <w:color w:val="auto"/>
          <w:sz w:val="32"/>
          <w:szCs w:val="32"/>
          <w:highlight w:val="none"/>
        </w:rPr>
      </w:pPr>
      <w:bookmarkStart w:id="37" w:name="_Toc15377212"/>
    </w:p>
    <w:p>
      <w:pPr>
        <w:spacing w:before="4371" w:beforeLines="1401" w:beforeAutospacing="0" w:line="600" w:lineRule="exact"/>
        <w:outlineLvl w:val="9"/>
        <w:rPr>
          <w:rFonts w:hint="eastAsia" w:ascii="仿宋" w:hAnsi="仿宋" w:eastAsia="仿宋"/>
          <w:b/>
          <w:color w:val="auto"/>
          <w:sz w:val="32"/>
          <w:szCs w:val="32"/>
          <w:highlight w:val="none"/>
        </w:rPr>
      </w:pPr>
      <w:r>
        <w:rPr>
          <w:rFonts w:hint="eastAsia" w:ascii="仿宋" w:hAnsi="仿宋" w:eastAsia="仿宋"/>
          <w:b/>
          <w:color w:val="auto"/>
          <w:sz w:val="32"/>
          <w:szCs w:val="32"/>
          <w:highlight w:val="none"/>
          <w:lang w:eastAsia="zh-CN"/>
        </w:rPr>
        <w:drawing>
          <wp:inline distT="0" distB="0" distL="114300" distR="114300">
            <wp:extent cx="5256530" cy="3140075"/>
            <wp:effectExtent l="4445" t="4445" r="15875" b="1778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3" w:firstLineChars="200"/>
        <w:outlineLvl w:val="2"/>
        <w:rPr>
          <w:rFonts w:hint="eastAsia" w:ascii="仿宋" w:hAnsi="仿宋" w:eastAsia="仿宋"/>
          <w:b/>
          <w:color w:val="auto"/>
          <w:sz w:val="32"/>
          <w:szCs w:val="32"/>
          <w:highlight w:val="none"/>
        </w:rPr>
      </w:pPr>
    </w:p>
    <w:p>
      <w:pPr>
        <w:spacing w:line="600" w:lineRule="exact"/>
        <w:ind w:firstLine="643" w:firstLineChars="200"/>
        <w:outlineLvl w:val="2"/>
        <w:rPr>
          <w:rFonts w:hint="eastAsia"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（三）一般公共预算财政拨款支出决算具体情况</w:t>
      </w:r>
      <w:bookmarkEnd w:id="37"/>
    </w:p>
    <w:p>
      <w:pPr>
        <w:spacing w:line="600" w:lineRule="exact"/>
        <w:ind w:firstLine="640" w:firstLineChars="200"/>
        <w:outlineLvl w:val="1"/>
        <w:rPr>
          <w:rFonts w:hint="eastAsia" w:ascii="仿宋_GB2312" w:hAnsi="仿宋_GB2312" w:eastAsia="仿宋_GB2312" w:cs="仿宋_GB2312"/>
          <w:b w:val="0"/>
          <w:bCs/>
          <w:color w:val="auto"/>
          <w:sz w:val="32"/>
          <w:szCs w:val="32"/>
          <w:highlight w:val="none"/>
        </w:rPr>
      </w:pPr>
      <w:bookmarkStart w:id="38" w:name="_Toc15377213"/>
      <w:bookmarkStart w:id="39" w:name="_Toc15378460"/>
      <w:bookmarkStart w:id="40" w:name="_Toc20518"/>
      <w:bookmarkStart w:id="41" w:name="_Toc15377444"/>
      <w:r>
        <w:rPr>
          <w:rFonts w:hint="eastAsia" w:ascii="仿宋_GB2312" w:hAnsi="仿宋_GB2312" w:eastAsia="仿宋_GB2312" w:cs="仿宋_GB2312"/>
          <w:b w:val="0"/>
          <w:bCs/>
          <w:color w:val="auto"/>
          <w:sz w:val="32"/>
          <w:szCs w:val="32"/>
          <w:highlight w:val="none"/>
        </w:rPr>
        <w:t>20</w:t>
      </w:r>
      <w:r>
        <w:rPr>
          <w:rFonts w:hint="eastAsia" w:ascii="仿宋_GB2312" w:hAnsi="仿宋_GB2312" w:eastAsia="仿宋_GB2312" w:cs="仿宋_GB2312"/>
          <w:b w:val="0"/>
          <w:bCs/>
          <w:color w:val="auto"/>
          <w:sz w:val="32"/>
          <w:szCs w:val="32"/>
          <w:highlight w:val="none"/>
          <w:lang w:val="en-US" w:eastAsia="zh-CN"/>
        </w:rPr>
        <w:t>25</w:t>
      </w:r>
      <w:r>
        <w:rPr>
          <w:rFonts w:hint="eastAsia" w:ascii="仿宋_GB2312" w:hAnsi="仿宋_GB2312" w:eastAsia="仿宋_GB2312" w:cs="仿宋_GB2312"/>
          <w:b w:val="0"/>
          <w:bCs/>
          <w:color w:val="auto"/>
          <w:sz w:val="32"/>
          <w:szCs w:val="32"/>
          <w:highlight w:val="none"/>
        </w:rPr>
        <w:t>年</w:t>
      </w:r>
      <w:r>
        <w:rPr>
          <w:rFonts w:hint="eastAsia" w:ascii="仿宋_GB2312" w:hAnsi="仿宋_GB2312" w:eastAsia="仿宋_GB2312" w:cs="仿宋_GB2312"/>
          <w:b w:val="0"/>
          <w:bCs/>
          <w:color w:val="auto"/>
          <w:sz w:val="32"/>
          <w:szCs w:val="32"/>
          <w:highlight w:val="none"/>
          <w:lang w:eastAsia="zh-CN"/>
        </w:rPr>
        <w:t>一</w:t>
      </w:r>
      <w:r>
        <w:rPr>
          <w:rFonts w:hint="eastAsia" w:ascii="仿宋_GB2312" w:hAnsi="仿宋_GB2312" w:eastAsia="仿宋_GB2312" w:cs="仿宋_GB2312"/>
          <w:b w:val="0"/>
          <w:bCs/>
          <w:color w:val="auto"/>
          <w:sz w:val="32"/>
          <w:szCs w:val="32"/>
          <w:highlight w:val="none"/>
        </w:rPr>
        <w:t>般公共预算支出决算数为</w:t>
      </w:r>
      <w:r>
        <w:rPr>
          <w:rFonts w:hint="eastAsia" w:ascii="仿宋_GB2312" w:hAnsi="仿宋_GB2312" w:eastAsia="仿宋_GB2312" w:cs="仿宋_GB2312"/>
          <w:b w:val="0"/>
          <w:bCs/>
          <w:color w:val="auto"/>
          <w:sz w:val="32"/>
          <w:szCs w:val="32"/>
          <w:highlight w:val="none"/>
          <w:lang w:val="en-US" w:eastAsia="zh-CN"/>
        </w:rPr>
        <w:t>642.75万元</w:t>
      </w:r>
      <w:r>
        <w:rPr>
          <w:rFonts w:hint="eastAsia" w:ascii="仿宋_GB2312" w:hAnsi="仿宋_GB2312" w:eastAsia="仿宋_GB2312" w:cs="仿宋_GB2312"/>
          <w:b w:val="0"/>
          <w:bCs/>
          <w:color w:val="auto"/>
          <w:sz w:val="32"/>
          <w:szCs w:val="32"/>
          <w:highlight w:val="none"/>
        </w:rPr>
        <w:t>，</w:t>
      </w:r>
      <w:r>
        <w:rPr>
          <w:rStyle w:val="15"/>
          <w:rFonts w:hint="eastAsia" w:ascii="仿宋_GB2312" w:hAnsi="仿宋_GB2312" w:eastAsia="仿宋_GB2312" w:cs="仿宋_GB2312"/>
          <w:b w:val="0"/>
          <w:bCs/>
          <w:color w:val="auto"/>
          <w:sz w:val="32"/>
          <w:szCs w:val="32"/>
          <w:highlight w:val="none"/>
        </w:rPr>
        <w:t>完成预算</w:t>
      </w:r>
      <w:r>
        <w:rPr>
          <w:rStyle w:val="15"/>
          <w:rFonts w:hint="eastAsia" w:ascii="仿宋_GB2312" w:hAnsi="仿宋_GB2312" w:eastAsia="仿宋_GB2312" w:cs="仿宋_GB2312"/>
          <w:b w:val="0"/>
          <w:bCs/>
          <w:color w:val="auto"/>
          <w:sz w:val="32"/>
          <w:szCs w:val="32"/>
          <w:highlight w:val="none"/>
          <w:lang w:val="en-US" w:eastAsia="zh-CN"/>
        </w:rPr>
        <w:t>100</w:t>
      </w:r>
      <w:r>
        <w:rPr>
          <w:rStyle w:val="15"/>
          <w:rFonts w:hint="eastAsia" w:ascii="仿宋_GB2312" w:hAnsi="仿宋_GB2312" w:eastAsia="仿宋_GB2312" w:cs="仿宋_GB2312"/>
          <w:b w:val="0"/>
          <w:bCs/>
          <w:color w:val="auto"/>
          <w:sz w:val="32"/>
          <w:szCs w:val="32"/>
          <w:highlight w:val="none"/>
        </w:rPr>
        <w:t>%。其中：</w:t>
      </w:r>
      <w:bookmarkEnd w:id="38"/>
      <w:bookmarkEnd w:id="39"/>
      <w:bookmarkEnd w:id="40"/>
      <w:bookmarkEnd w:id="41"/>
    </w:p>
    <w:p>
      <w:pPr>
        <w:numPr>
          <w:ilvl w:val="0"/>
          <w:numId w:val="4"/>
        </w:numPr>
        <w:spacing w:line="600" w:lineRule="exact"/>
        <w:ind w:firstLine="640" w:firstLineChars="200"/>
        <w:rPr>
          <w:rStyle w:val="15"/>
          <w:rFonts w:hint="eastAsia" w:ascii="仿宋_GB2312" w:hAnsi="仿宋_GB2312" w:eastAsia="仿宋_GB2312" w:cs="仿宋_GB2312"/>
          <w:b w:val="0"/>
          <w:bCs w:val="0"/>
          <w:color w:val="auto"/>
          <w:sz w:val="32"/>
          <w:szCs w:val="32"/>
          <w:highlight w:val="none"/>
        </w:rPr>
      </w:pPr>
      <w:r>
        <w:rPr>
          <w:rStyle w:val="15"/>
          <w:rFonts w:hint="eastAsia" w:ascii="仿宋_GB2312" w:hAnsi="仿宋_GB2312" w:eastAsia="仿宋_GB2312" w:cs="仿宋_GB2312"/>
          <w:b w:val="0"/>
          <w:bCs w:val="0"/>
          <w:color w:val="auto"/>
          <w:sz w:val="32"/>
          <w:szCs w:val="32"/>
          <w:highlight w:val="none"/>
        </w:rPr>
        <w:t>社会保障和就业（类）</w:t>
      </w:r>
      <w:r>
        <w:rPr>
          <w:rStyle w:val="15"/>
          <w:rFonts w:hint="eastAsia" w:ascii="仿宋_GB2312" w:hAnsi="仿宋_GB2312" w:eastAsia="仿宋_GB2312" w:cs="仿宋_GB2312"/>
          <w:b w:val="0"/>
          <w:bCs w:val="0"/>
          <w:color w:val="auto"/>
          <w:sz w:val="32"/>
          <w:szCs w:val="32"/>
          <w:highlight w:val="none"/>
          <w:lang w:eastAsia="zh-CN"/>
        </w:rPr>
        <w:t>行政事业单位养老支出</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事业单位离退休</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2080502支出</w:t>
      </w:r>
      <w:r>
        <w:rPr>
          <w:rStyle w:val="15"/>
          <w:rFonts w:hint="eastAsia" w:ascii="仿宋_GB2312" w:hAnsi="仿宋_GB2312" w:eastAsia="仿宋_GB2312" w:cs="仿宋_GB2312"/>
          <w:b w:val="0"/>
          <w:bCs w:val="0"/>
          <w:color w:val="auto"/>
          <w:sz w:val="32"/>
          <w:szCs w:val="32"/>
          <w:highlight w:val="none"/>
        </w:rPr>
        <w:t>: 支出决算为</w:t>
      </w:r>
      <w:r>
        <w:rPr>
          <w:rStyle w:val="15"/>
          <w:rFonts w:hint="eastAsia" w:ascii="仿宋_GB2312" w:hAnsi="仿宋_GB2312" w:eastAsia="仿宋_GB2312" w:cs="仿宋_GB2312"/>
          <w:b w:val="0"/>
          <w:bCs w:val="0"/>
          <w:color w:val="auto"/>
          <w:sz w:val="32"/>
          <w:szCs w:val="32"/>
          <w:highlight w:val="none"/>
          <w:lang w:val="en-US" w:eastAsia="zh-CN"/>
        </w:rPr>
        <w:t>15.43</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Style w:val="15"/>
          <w:rFonts w:hint="eastAsia" w:ascii="仿宋_GB2312" w:hAnsi="仿宋_GB2312" w:eastAsia="仿宋_GB2312" w:cs="仿宋_GB2312"/>
          <w:b w:val="0"/>
          <w:bCs w:val="0"/>
          <w:color w:val="auto"/>
          <w:sz w:val="32"/>
          <w:szCs w:val="32"/>
          <w:highlight w:val="none"/>
        </w:rPr>
      </w:pPr>
      <w:r>
        <w:rPr>
          <w:rStyle w:val="15"/>
          <w:rFonts w:hint="eastAsia" w:ascii="仿宋_GB2312" w:hAnsi="仿宋_GB2312" w:eastAsia="仿宋_GB2312" w:cs="仿宋_GB2312"/>
          <w:b w:val="0"/>
          <w:bCs w:val="0"/>
          <w:color w:val="auto"/>
          <w:sz w:val="32"/>
          <w:szCs w:val="32"/>
          <w:highlight w:val="none"/>
        </w:rPr>
        <w:t>社会保障和就业（类）</w:t>
      </w:r>
      <w:r>
        <w:rPr>
          <w:rStyle w:val="15"/>
          <w:rFonts w:hint="eastAsia" w:ascii="仿宋_GB2312" w:hAnsi="仿宋_GB2312" w:eastAsia="仿宋_GB2312" w:cs="仿宋_GB2312"/>
          <w:b w:val="0"/>
          <w:bCs w:val="0"/>
          <w:color w:val="auto"/>
          <w:sz w:val="32"/>
          <w:szCs w:val="32"/>
          <w:highlight w:val="none"/>
          <w:lang w:eastAsia="zh-CN"/>
        </w:rPr>
        <w:t>行政事业单位养老支出</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机关事业单位基本养老保险缴费支出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2080505支出</w:t>
      </w:r>
      <w:r>
        <w:rPr>
          <w:rStyle w:val="15"/>
          <w:rFonts w:hint="eastAsia" w:ascii="仿宋_GB2312" w:hAnsi="仿宋_GB2312" w:eastAsia="仿宋_GB2312" w:cs="仿宋_GB2312"/>
          <w:b w:val="0"/>
          <w:bCs w:val="0"/>
          <w:color w:val="auto"/>
          <w:sz w:val="32"/>
          <w:szCs w:val="32"/>
          <w:highlight w:val="none"/>
        </w:rPr>
        <w:t>: 支出决算为</w:t>
      </w:r>
      <w:r>
        <w:rPr>
          <w:rStyle w:val="15"/>
          <w:rFonts w:hint="eastAsia" w:ascii="仿宋_GB2312" w:hAnsi="仿宋_GB2312" w:eastAsia="仿宋_GB2312" w:cs="仿宋_GB2312"/>
          <w:b w:val="0"/>
          <w:bCs w:val="0"/>
          <w:color w:val="auto"/>
          <w:sz w:val="32"/>
          <w:szCs w:val="32"/>
          <w:highlight w:val="none"/>
          <w:lang w:val="en-US" w:eastAsia="zh-CN"/>
        </w:rPr>
        <w:t>46.73</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Style w:val="15"/>
          <w:rFonts w:hint="eastAsia" w:ascii="仿宋_GB2312" w:hAnsi="仿宋_GB2312" w:eastAsia="仿宋_GB2312" w:cs="仿宋_GB2312"/>
          <w:b w:val="0"/>
          <w:bCs w:val="0"/>
          <w:color w:val="auto"/>
          <w:sz w:val="32"/>
          <w:szCs w:val="32"/>
          <w:highlight w:val="none"/>
        </w:rPr>
      </w:pPr>
      <w:r>
        <w:rPr>
          <w:rStyle w:val="15"/>
          <w:rFonts w:hint="eastAsia" w:ascii="仿宋_GB2312" w:hAnsi="仿宋_GB2312" w:eastAsia="仿宋_GB2312" w:cs="仿宋_GB2312"/>
          <w:b w:val="0"/>
          <w:bCs w:val="0"/>
          <w:color w:val="auto"/>
          <w:sz w:val="32"/>
          <w:szCs w:val="32"/>
          <w:highlight w:val="none"/>
        </w:rPr>
        <w:t>社会保障和就业（类）</w:t>
      </w:r>
      <w:r>
        <w:rPr>
          <w:rStyle w:val="15"/>
          <w:rFonts w:hint="eastAsia" w:ascii="仿宋_GB2312" w:hAnsi="仿宋_GB2312" w:eastAsia="仿宋_GB2312" w:cs="仿宋_GB2312"/>
          <w:b w:val="0"/>
          <w:bCs w:val="0"/>
          <w:color w:val="auto"/>
          <w:sz w:val="32"/>
          <w:szCs w:val="32"/>
          <w:highlight w:val="none"/>
          <w:lang w:eastAsia="zh-CN"/>
        </w:rPr>
        <w:t>行政事业单位养老支出</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机关事业单位职业年金缴费支出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2080506支出</w:t>
      </w:r>
      <w:r>
        <w:rPr>
          <w:rStyle w:val="15"/>
          <w:rFonts w:hint="eastAsia" w:ascii="仿宋_GB2312" w:hAnsi="仿宋_GB2312" w:eastAsia="仿宋_GB2312" w:cs="仿宋_GB2312"/>
          <w:b w:val="0"/>
          <w:bCs w:val="0"/>
          <w:color w:val="auto"/>
          <w:sz w:val="32"/>
          <w:szCs w:val="32"/>
          <w:highlight w:val="none"/>
        </w:rPr>
        <w:t>: 支出决算为</w:t>
      </w:r>
      <w:r>
        <w:rPr>
          <w:rStyle w:val="15"/>
          <w:rFonts w:hint="eastAsia" w:ascii="仿宋_GB2312" w:hAnsi="仿宋_GB2312" w:eastAsia="仿宋_GB2312" w:cs="仿宋_GB2312"/>
          <w:b w:val="0"/>
          <w:bCs w:val="0"/>
          <w:color w:val="auto"/>
          <w:sz w:val="32"/>
          <w:szCs w:val="32"/>
          <w:highlight w:val="none"/>
          <w:lang w:val="en-US" w:eastAsia="zh-CN"/>
        </w:rPr>
        <w:t>23.36</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Style w:val="15"/>
          <w:rFonts w:hint="eastAsia" w:ascii="仿宋_GB2312" w:hAnsi="仿宋_GB2312" w:eastAsia="仿宋_GB2312" w:cs="仿宋_GB2312"/>
          <w:b w:val="0"/>
          <w:bCs/>
          <w:color w:val="auto"/>
          <w:sz w:val="32"/>
          <w:szCs w:val="32"/>
          <w:highlight w:val="none"/>
        </w:rPr>
      </w:pPr>
      <w:r>
        <w:rPr>
          <w:rStyle w:val="15"/>
          <w:rFonts w:hint="eastAsia" w:ascii="仿宋_GB2312" w:hAnsi="仿宋_GB2312" w:eastAsia="仿宋_GB2312" w:cs="仿宋_GB2312"/>
          <w:b w:val="0"/>
          <w:bCs w:val="0"/>
          <w:color w:val="auto"/>
          <w:sz w:val="32"/>
          <w:szCs w:val="32"/>
          <w:highlight w:val="none"/>
        </w:rPr>
        <w:t>社会保障和就业（类）</w:t>
      </w:r>
      <w:r>
        <w:rPr>
          <w:rStyle w:val="15"/>
          <w:rFonts w:hint="eastAsia" w:ascii="仿宋_GB2312" w:hAnsi="仿宋_GB2312" w:eastAsia="仿宋_GB2312" w:cs="仿宋_GB2312"/>
          <w:b w:val="0"/>
          <w:bCs w:val="0"/>
          <w:color w:val="auto"/>
          <w:sz w:val="32"/>
          <w:szCs w:val="32"/>
          <w:highlight w:val="none"/>
          <w:lang w:eastAsia="zh-CN"/>
        </w:rPr>
        <w:t>退役安置</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退役安置支出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2080901支出</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 w:val="0"/>
          <w:bCs/>
          <w:color w:val="auto"/>
          <w:sz w:val="32"/>
          <w:szCs w:val="32"/>
          <w:highlight w:val="none"/>
        </w:rPr>
        <w:t xml:space="preserve"> 支出决算为</w:t>
      </w:r>
      <w:r>
        <w:rPr>
          <w:rStyle w:val="15"/>
          <w:rFonts w:hint="eastAsia" w:ascii="仿宋_GB2312" w:hAnsi="仿宋_GB2312" w:eastAsia="仿宋_GB2312" w:cs="仿宋_GB2312"/>
          <w:b w:val="0"/>
          <w:bCs/>
          <w:color w:val="auto"/>
          <w:sz w:val="32"/>
          <w:szCs w:val="32"/>
          <w:highlight w:val="none"/>
          <w:lang w:val="en-US" w:eastAsia="zh-CN"/>
        </w:rPr>
        <w:t>5.21</w:t>
      </w:r>
      <w:r>
        <w:rPr>
          <w:rStyle w:val="15"/>
          <w:rFonts w:hint="eastAsia" w:ascii="仿宋_GB2312" w:hAnsi="仿宋_GB2312" w:eastAsia="仿宋_GB2312" w:cs="仿宋_GB2312"/>
          <w:b w:val="0"/>
          <w:bCs/>
          <w:color w:val="auto"/>
          <w:sz w:val="32"/>
          <w:szCs w:val="32"/>
          <w:highlight w:val="none"/>
        </w:rPr>
        <w:t>万元，完成预算</w:t>
      </w:r>
      <w:r>
        <w:rPr>
          <w:rStyle w:val="15"/>
          <w:rFonts w:hint="eastAsia" w:ascii="仿宋_GB2312" w:hAnsi="仿宋_GB2312" w:eastAsia="仿宋_GB2312" w:cs="仿宋_GB2312"/>
          <w:b w:val="0"/>
          <w:bCs/>
          <w:color w:val="auto"/>
          <w:sz w:val="32"/>
          <w:szCs w:val="32"/>
          <w:highlight w:val="none"/>
          <w:lang w:val="en-US" w:eastAsia="zh-CN"/>
        </w:rPr>
        <w:t>100</w:t>
      </w:r>
      <w:r>
        <w:rPr>
          <w:rStyle w:val="15"/>
          <w:rFonts w:hint="eastAsia" w:ascii="仿宋_GB2312" w:hAnsi="仿宋_GB2312" w:eastAsia="仿宋_GB2312" w:cs="仿宋_GB2312"/>
          <w:b w:val="0"/>
          <w:bCs/>
          <w:color w:val="auto"/>
          <w:sz w:val="32"/>
          <w:szCs w:val="32"/>
          <w:highlight w:val="none"/>
        </w:rPr>
        <w:t>%</w:t>
      </w:r>
      <w:r>
        <w:rPr>
          <w:rStyle w:val="15"/>
          <w:rFonts w:hint="eastAsia" w:ascii="仿宋_GB2312" w:hAnsi="仿宋_GB2312" w:eastAsia="仿宋_GB2312" w:cs="仿宋_GB2312"/>
          <w:b w:val="0"/>
          <w:bCs/>
          <w:color w:val="auto"/>
          <w:sz w:val="32"/>
          <w:szCs w:val="32"/>
          <w:highlight w:val="none"/>
          <w:lang w:eastAsia="zh-CN"/>
        </w:rPr>
        <w:t>。</w:t>
      </w:r>
    </w:p>
    <w:p>
      <w:pPr>
        <w:numPr>
          <w:ilvl w:val="0"/>
          <w:numId w:val="4"/>
        </w:numPr>
        <w:spacing w:line="600" w:lineRule="exact"/>
        <w:ind w:firstLine="640" w:firstLineChars="200"/>
        <w:rPr>
          <w:rStyle w:val="15"/>
          <w:rFonts w:hint="eastAsia" w:ascii="仿宋_GB2312" w:hAnsi="仿宋_GB2312" w:eastAsia="仿宋_GB2312" w:cs="仿宋_GB2312"/>
          <w:b w:val="0"/>
          <w:bCs w:val="0"/>
          <w:color w:val="auto"/>
          <w:sz w:val="32"/>
          <w:szCs w:val="32"/>
          <w:highlight w:val="none"/>
        </w:rPr>
      </w:pPr>
      <w:r>
        <w:rPr>
          <w:rStyle w:val="15"/>
          <w:rFonts w:hint="eastAsia" w:ascii="仿宋_GB2312" w:hAnsi="仿宋_GB2312" w:eastAsia="仿宋_GB2312" w:cs="仿宋_GB2312"/>
          <w:b w:val="0"/>
          <w:bCs w:val="0"/>
          <w:color w:val="auto"/>
          <w:sz w:val="32"/>
          <w:szCs w:val="32"/>
          <w:highlight w:val="none"/>
        </w:rPr>
        <w:t>社会保障和就业（类）</w:t>
      </w:r>
      <w:r>
        <w:rPr>
          <w:rStyle w:val="15"/>
          <w:rFonts w:hint="eastAsia" w:ascii="仿宋_GB2312" w:hAnsi="仿宋_GB2312" w:eastAsia="仿宋_GB2312" w:cs="仿宋_GB2312"/>
          <w:b w:val="0"/>
          <w:bCs w:val="0"/>
          <w:color w:val="auto"/>
          <w:sz w:val="32"/>
          <w:szCs w:val="32"/>
          <w:highlight w:val="none"/>
          <w:lang w:eastAsia="zh-CN"/>
        </w:rPr>
        <w:t>退役安置</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其他退役安置支出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2080999支出</w:t>
      </w:r>
      <w:r>
        <w:rPr>
          <w:rStyle w:val="15"/>
          <w:rFonts w:hint="eastAsia" w:ascii="仿宋_GB2312" w:hAnsi="仿宋_GB2312" w:eastAsia="仿宋_GB2312" w:cs="仿宋_GB2312"/>
          <w:b w:val="0"/>
          <w:bCs w:val="0"/>
          <w:color w:val="auto"/>
          <w:sz w:val="32"/>
          <w:szCs w:val="32"/>
          <w:highlight w:val="none"/>
        </w:rPr>
        <w:t>: 支出决算为</w:t>
      </w:r>
      <w:r>
        <w:rPr>
          <w:rStyle w:val="15"/>
          <w:rFonts w:hint="eastAsia" w:ascii="仿宋_GB2312" w:hAnsi="仿宋_GB2312" w:eastAsia="仿宋_GB2312" w:cs="仿宋_GB2312"/>
          <w:b w:val="0"/>
          <w:bCs w:val="0"/>
          <w:color w:val="auto"/>
          <w:sz w:val="32"/>
          <w:szCs w:val="32"/>
          <w:highlight w:val="none"/>
          <w:lang w:val="en-US" w:eastAsia="zh-CN"/>
        </w:rPr>
        <w:t>0.6</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5"/>
          <w:rFonts w:hint="eastAsia" w:ascii="仿宋_GB2312" w:hAnsi="仿宋_GB2312" w:eastAsia="仿宋_GB2312" w:cs="仿宋_GB2312"/>
          <w:b w:val="0"/>
          <w:bCs w:val="0"/>
          <w:color w:val="auto"/>
          <w:sz w:val="32"/>
          <w:szCs w:val="32"/>
          <w:highlight w:val="none"/>
        </w:rPr>
        <w:t>（类）</w:t>
      </w:r>
      <w:r>
        <w:rPr>
          <w:rStyle w:val="15"/>
          <w:rFonts w:hint="eastAsia" w:ascii="仿宋_GB2312" w:hAnsi="仿宋_GB2312" w:eastAsia="仿宋_GB2312" w:cs="仿宋_GB2312"/>
          <w:b w:val="0"/>
          <w:bCs w:val="0"/>
          <w:color w:val="auto"/>
          <w:sz w:val="32"/>
          <w:szCs w:val="32"/>
          <w:highlight w:val="none"/>
          <w:lang w:eastAsia="zh-CN"/>
        </w:rPr>
        <w:t>公立医院</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中医（民族）医院</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2100202支出</w:t>
      </w:r>
      <w:r>
        <w:rPr>
          <w:rStyle w:val="15"/>
          <w:rFonts w:hint="eastAsia" w:ascii="仿宋_GB2312" w:hAnsi="仿宋_GB2312" w:eastAsia="仿宋_GB2312" w:cs="仿宋_GB2312"/>
          <w:b w:val="0"/>
          <w:bCs w:val="0"/>
          <w:color w:val="auto"/>
          <w:sz w:val="32"/>
          <w:szCs w:val="32"/>
          <w:highlight w:val="none"/>
        </w:rPr>
        <w:t>:支出决算为</w:t>
      </w:r>
      <w:r>
        <w:rPr>
          <w:rStyle w:val="15"/>
          <w:rFonts w:hint="eastAsia" w:ascii="仿宋_GB2312" w:hAnsi="仿宋_GB2312" w:eastAsia="仿宋_GB2312" w:cs="仿宋_GB2312"/>
          <w:b w:val="0"/>
          <w:bCs w:val="0"/>
          <w:color w:val="auto"/>
          <w:sz w:val="32"/>
          <w:szCs w:val="32"/>
          <w:highlight w:val="none"/>
          <w:lang w:val="en-US" w:eastAsia="zh-CN"/>
        </w:rPr>
        <w:t>339.32</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5"/>
          <w:rFonts w:hint="eastAsia" w:ascii="仿宋_GB2312" w:hAnsi="仿宋_GB2312" w:eastAsia="仿宋_GB2312" w:cs="仿宋_GB2312"/>
          <w:b w:val="0"/>
          <w:bCs w:val="0"/>
          <w:color w:val="auto"/>
          <w:sz w:val="32"/>
          <w:szCs w:val="32"/>
          <w:highlight w:val="none"/>
        </w:rPr>
        <w:t>（类）</w:t>
      </w:r>
      <w:r>
        <w:rPr>
          <w:rStyle w:val="15"/>
          <w:rFonts w:hint="eastAsia" w:ascii="仿宋_GB2312" w:hAnsi="仿宋_GB2312" w:eastAsia="仿宋_GB2312" w:cs="仿宋_GB2312"/>
          <w:b w:val="0"/>
          <w:bCs w:val="0"/>
          <w:color w:val="auto"/>
          <w:sz w:val="32"/>
          <w:szCs w:val="32"/>
          <w:highlight w:val="none"/>
          <w:lang w:eastAsia="zh-CN"/>
        </w:rPr>
        <w:t>公共卫生</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基本公共卫生支出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2100408支出</w:t>
      </w:r>
      <w:r>
        <w:rPr>
          <w:rStyle w:val="15"/>
          <w:rFonts w:hint="eastAsia" w:ascii="仿宋_GB2312" w:hAnsi="仿宋_GB2312" w:eastAsia="仿宋_GB2312" w:cs="仿宋_GB2312"/>
          <w:b w:val="0"/>
          <w:bCs w:val="0"/>
          <w:color w:val="auto"/>
          <w:sz w:val="32"/>
          <w:szCs w:val="32"/>
          <w:highlight w:val="none"/>
        </w:rPr>
        <w:t>:支出决算为</w:t>
      </w:r>
      <w:r>
        <w:rPr>
          <w:rStyle w:val="15"/>
          <w:rFonts w:hint="eastAsia" w:ascii="仿宋_GB2312" w:hAnsi="仿宋_GB2312" w:eastAsia="仿宋_GB2312" w:cs="仿宋_GB2312"/>
          <w:b w:val="0"/>
          <w:bCs w:val="0"/>
          <w:color w:val="auto"/>
          <w:sz w:val="32"/>
          <w:szCs w:val="32"/>
          <w:highlight w:val="none"/>
          <w:lang w:val="en-US" w:eastAsia="zh-CN"/>
        </w:rPr>
        <w:t>10.57</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5"/>
          <w:rFonts w:hint="eastAsia" w:ascii="仿宋_GB2312" w:hAnsi="仿宋_GB2312" w:eastAsia="仿宋_GB2312" w:cs="仿宋_GB2312"/>
          <w:b w:val="0"/>
          <w:bCs w:val="0"/>
          <w:color w:val="auto"/>
          <w:sz w:val="32"/>
          <w:szCs w:val="32"/>
          <w:highlight w:val="none"/>
        </w:rPr>
        <w:t>（类）</w:t>
      </w:r>
      <w:r>
        <w:rPr>
          <w:rStyle w:val="15"/>
          <w:rFonts w:hint="eastAsia" w:ascii="仿宋_GB2312" w:hAnsi="仿宋_GB2312" w:eastAsia="仿宋_GB2312" w:cs="仿宋_GB2312"/>
          <w:b w:val="0"/>
          <w:bCs w:val="0"/>
          <w:color w:val="auto"/>
          <w:sz w:val="32"/>
          <w:szCs w:val="32"/>
          <w:highlight w:val="none"/>
          <w:lang w:eastAsia="zh-CN"/>
        </w:rPr>
        <w:t>公共卫生</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重大公共卫生支出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2100409支出</w:t>
      </w:r>
      <w:r>
        <w:rPr>
          <w:rStyle w:val="15"/>
          <w:rFonts w:hint="eastAsia" w:ascii="仿宋_GB2312" w:hAnsi="仿宋_GB2312" w:eastAsia="仿宋_GB2312" w:cs="仿宋_GB2312"/>
          <w:b w:val="0"/>
          <w:bCs w:val="0"/>
          <w:color w:val="auto"/>
          <w:sz w:val="32"/>
          <w:szCs w:val="32"/>
          <w:highlight w:val="none"/>
        </w:rPr>
        <w:t>:支出决算为</w:t>
      </w:r>
      <w:r>
        <w:rPr>
          <w:rStyle w:val="15"/>
          <w:rFonts w:hint="eastAsia" w:ascii="仿宋_GB2312" w:hAnsi="仿宋_GB2312" w:eastAsia="仿宋_GB2312" w:cs="仿宋_GB2312"/>
          <w:b w:val="0"/>
          <w:bCs w:val="0"/>
          <w:color w:val="auto"/>
          <w:sz w:val="32"/>
          <w:szCs w:val="32"/>
          <w:highlight w:val="none"/>
          <w:lang w:val="en-US" w:eastAsia="zh-CN"/>
        </w:rPr>
        <w:t>0.06</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5"/>
          <w:rFonts w:hint="eastAsia" w:ascii="仿宋_GB2312" w:hAnsi="仿宋_GB2312" w:eastAsia="仿宋_GB2312" w:cs="仿宋_GB2312"/>
          <w:b w:val="0"/>
          <w:bCs w:val="0"/>
          <w:color w:val="auto"/>
          <w:sz w:val="32"/>
          <w:szCs w:val="32"/>
          <w:highlight w:val="none"/>
        </w:rPr>
        <w:t>（类）</w:t>
      </w:r>
      <w:r>
        <w:rPr>
          <w:rStyle w:val="15"/>
          <w:rFonts w:hint="eastAsia" w:ascii="仿宋_GB2312" w:hAnsi="仿宋_GB2312" w:eastAsia="仿宋_GB2312" w:cs="仿宋_GB2312"/>
          <w:b w:val="0"/>
          <w:bCs w:val="0"/>
          <w:color w:val="auto"/>
          <w:sz w:val="32"/>
          <w:szCs w:val="32"/>
          <w:highlight w:val="none"/>
          <w:lang w:eastAsia="zh-CN"/>
        </w:rPr>
        <w:t>公共卫生</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其他公共卫生支出</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2100499支出</w:t>
      </w:r>
      <w:r>
        <w:rPr>
          <w:rStyle w:val="15"/>
          <w:rFonts w:hint="eastAsia" w:ascii="仿宋_GB2312" w:hAnsi="仿宋_GB2312" w:eastAsia="仿宋_GB2312" w:cs="仿宋_GB2312"/>
          <w:b w:val="0"/>
          <w:bCs w:val="0"/>
          <w:color w:val="auto"/>
          <w:sz w:val="32"/>
          <w:szCs w:val="32"/>
          <w:highlight w:val="none"/>
        </w:rPr>
        <w:t>:支出决算为</w:t>
      </w:r>
      <w:r>
        <w:rPr>
          <w:rStyle w:val="15"/>
          <w:rFonts w:hint="eastAsia" w:ascii="仿宋_GB2312" w:hAnsi="仿宋_GB2312" w:eastAsia="仿宋_GB2312" w:cs="仿宋_GB2312"/>
          <w:b w:val="0"/>
          <w:bCs w:val="0"/>
          <w:color w:val="auto"/>
          <w:sz w:val="32"/>
          <w:szCs w:val="32"/>
          <w:highlight w:val="none"/>
          <w:lang w:val="en-US" w:eastAsia="zh-CN"/>
        </w:rPr>
        <w:t>4.06</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w:t>
      </w:r>
      <w:r>
        <w:rPr>
          <w:rStyle w:val="15"/>
          <w:rFonts w:hint="eastAsia" w:ascii="仿宋_GB2312" w:hAnsi="仿宋_GB2312" w:eastAsia="仿宋_GB2312" w:cs="仿宋_GB2312"/>
          <w:b w:val="0"/>
          <w:bCs w:val="0"/>
          <w:color w:val="auto"/>
          <w:sz w:val="32"/>
          <w:szCs w:val="32"/>
          <w:highlight w:val="none"/>
        </w:rPr>
        <w:t>（类）</w:t>
      </w:r>
      <w:r>
        <w:rPr>
          <w:rStyle w:val="15"/>
          <w:rFonts w:hint="eastAsia" w:ascii="仿宋_GB2312" w:hAnsi="仿宋_GB2312" w:eastAsia="仿宋_GB2312" w:cs="仿宋_GB2312"/>
          <w:b w:val="0"/>
          <w:bCs w:val="0"/>
          <w:color w:val="auto"/>
          <w:sz w:val="32"/>
          <w:szCs w:val="32"/>
          <w:highlight w:val="none"/>
          <w:lang w:eastAsia="zh-CN"/>
        </w:rPr>
        <w:t>中医药</w:t>
      </w:r>
      <w:r>
        <w:rPr>
          <w:rStyle w:val="15"/>
          <w:rFonts w:hint="eastAsia" w:ascii="仿宋_GB2312" w:hAnsi="仿宋_GB2312" w:eastAsia="仿宋_GB2312" w:cs="仿宋_GB2312"/>
          <w:b w:val="0"/>
          <w:bCs w:val="0"/>
          <w:color w:val="auto"/>
          <w:sz w:val="32"/>
          <w:szCs w:val="32"/>
          <w:highlight w:val="none"/>
        </w:rPr>
        <w:t>（款）</w:t>
      </w:r>
      <w:r>
        <w:rPr>
          <w:rStyle w:val="15"/>
          <w:rFonts w:hint="eastAsia" w:ascii="仿宋_GB2312" w:hAnsi="仿宋_GB2312" w:eastAsia="仿宋_GB2312" w:cs="仿宋_GB2312"/>
          <w:b w:val="0"/>
          <w:bCs w:val="0"/>
          <w:color w:val="auto"/>
          <w:sz w:val="32"/>
          <w:szCs w:val="32"/>
          <w:highlight w:val="none"/>
          <w:lang w:eastAsia="zh-CN"/>
        </w:rPr>
        <w:t>中医（民族医）药专项</w:t>
      </w:r>
      <w:r>
        <w:rPr>
          <w:rStyle w:val="15"/>
          <w:rFonts w:hint="eastAsia" w:ascii="仿宋_GB2312" w:hAnsi="仿宋_GB2312" w:eastAsia="仿宋_GB2312" w:cs="仿宋_GB2312"/>
          <w:b w:val="0"/>
          <w:bCs w:val="0"/>
          <w:color w:val="auto"/>
          <w:sz w:val="32"/>
          <w:szCs w:val="32"/>
          <w:highlight w:val="none"/>
        </w:rPr>
        <w:t>（项）</w:t>
      </w:r>
      <w:r>
        <w:rPr>
          <w:rStyle w:val="15"/>
          <w:rFonts w:hint="eastAsia" w:ascii="仿宋_GB2312" w:hAnsi="仿宋_GB2312" w:eastAsia="仿宋_GB2312" w:cs="仿宋_GB2312"/>
          <w:b w:val="0"/>
          <w:bCs w:val="0"/>
          <w:color w:val="auto"/>
          <w:sz w:val="32"/>
          <w:szCs w:val="32"/>
          <w:highlight w:val="none"/>
          <w:lang w:val="en-US" w:eastAsia="zh-CN"/>
        </w:rPr>
        <w:t>2101704支出</w:t>
      </w:r>
      <w:r>
        <w:rPr>
          <w:rStyle w:val="15"/>
          <w:rFonts w:hint="eastAsia" w:ascii="仿宋_GB2312" w:hAnsi="仿宋_GB2312" w:eastAsia="仿宋_GB2312" w:cs="仿宋_GB2312"/>
          <w:b w:val="0"/>
          <w:bCs w:val="0"/>
          <w:color w:val="auto"/>
          <w:sz w:val="32"/>
          <w:szCs w:val="32"/>
          <w:highlight w:val="none"/>
        </w:rPr>
        <w:t>:支出决算为</w:t>
      </w:r>
      <w:r>
        <w:rPr>
          <w:rStyle w:val="15"/>
          <w:rFonts w:hint="eastAsia" w:ascii="仿宋_GB2312" w:hAnsi="仿宋_GB2312" w:eastAsia="仿宋_GB2312" w:cs="仿宋_GB2312"/>
          <w:b w:val="0"/>
          <w:bCs w:val="0"/>
          <w:color w:val="auto"/>
          <w:sz w:val="32"/>
          <w:szCs w:val="32"/>
          <w:highlight w:val="none"/>
          <w:lang w:val="en-US" w:eastAsia="zh-CN"/>
        </w:rPr>
        <w:t>195</w:t>
      </w:r>
      <w:r>
        <w:rPr>
          <w:rStyle w:val="15"/>
          <w:rFonts w:hint="eastAsia" w:ascii="仿宋_GB2312" w:hAnsi="仿宋_GB2312" w:eastAsia="仿宋_GB2312" w:cs="仿宋_GB2312"/>
          <w:b w:val="0"/>
          <w:bCs w:val="0"/>
          <w:color w:val="auto"/>
          <w:sz w:val="32"/>
          <w:szCs w:val="32"/>
          <w:highlight w:val="none"/>
        </w:rPr>
        <w:t>万元，完成预算</w:t>
      </w:r>
      <w:r>
        <w:rPr>
          <w:rStyle w:val="15"/>
          <w:rFonts w:hint="eastAsia" w:ascii="仿宋_GB2312" w:hAnsi="仿宋_GB2312" w:eastAsia="仿宋_GB2312" w:cs="仿宋_GB2312"/>
          <w:b w:val="0"/>
          <w:bCs w:val="0"/>
          <w:color w:val="auto"/>
          <w:sz w:val="32"/>
          <w:szCs w:val="32"/>
          <w:highlight w:val="none"/>
          <w:lang w:val="en-US" w:eastAsia="zh-CN"/>
        </w:rPr>
        <w:t>100</w:t>
      </w:r>
      <w:r>
        <w:rPr>
          <w:rStyle w:val="15"/>
          <w:rFonts w:hint="eastAsia" w:ascii="仿宋_GB2312" w:hAnsi="仿宋_GB2312" w:eastAsia="仿宋_GB2312" w:cs="仿宋_GB2312"/>
          <w:b w:val="0"/>
          <w:bCs w:val="0"/>
          <w:color w:val="auto"/>
          <w:sz w:val="32"/>
          <w:szCs w:val="32"/>
          <w:highlight w:val="none"/>
        </w:rPr>
        <w:t>%</w:t>
      </w:r>
      <w:r>
        <w:rPr>
          <w:rStyle w:val="15"/>
          <w:rFonts w:hint="eastAsia" w:ascii="仿宋_GB2312" w:hAnsi="仿宋_GB2312" w:eastAsia="仿宋_GB2312" w:cs="仿宋_GB2312"/>
          <w:b w:val="0"/>
          <w:bCs w:val="0"/>
          <w:color w:val="auto"/>
          <w:sz w:val="32"/>
          <w:szCs w:val="32"/>
          <w:highlight w:val="none"/>
          <w:lang w:eastAsia="zh-CN"/>
        </w:rPr>
        <w:t>。</w:t>
      </w:r>
    </w:p>
    <w:p>
      <w:pPr>
        <w:numPr>
          <w:ilvl w:val="0"/>
          <w:numId w:val="4"/>
        </w:numPr>
        <w:spacing w:line="60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卫生健康（类）</w:t>
      </w:r>
      <w:r>
        <w:rPr>
          <w:rFonts w:hint="eastAsia" w:ascii="仿宋_GB2312" w:hAnsi="仿宋_GB2312" w:eastAsia="仿宋_GB2312" w:cs="仿宋_GB2312"/>
          <w:b w:val="0"/>
          <w:bCs w:val="0"/>
          <w:color w:val="auto"/>
          <w:sz w:val="32"/>
          <w:szCs w:val="32"/>
          <w:highlight w:val="none"/>
          <w:lang w:eastAsia="zh-CN"/>
        </w:rPr>
        <w:t>其他卫生健康支出</w:t>
      </w:r>
      <w:r>
        <w:rPr>
          <w:rFonts w:hint="eastAsia" w:ascii="仿宋_GB2312" w:hAnsi="仿宋_GB2312" w:eastAsia="仿宋_GB2312" w:cs="仿宋_GB2312"/>
          <w:b w:val="0"/>
          <w:bCs w:val="0"/>
          <w:color w:val="auto"/>
          <w:sz w:val="32"/>
          <w:szCs w:val="32"/>
          <w:highlight w:val="none"/>
        </w:rPr>
        <w:t>（款）</w:t>
      </w:r>
      <w:r>
        <w:rPr>
          <w:rFonts w:hint="eastAsia" w:ascii="仿宋_GB2312" w:hAnsi="仿宋_GB2312" w:eastAsia="仿宋_GB2312" w:cs="仿宋_GB2312"/>
          <w:b w:val="0"/>
          <w:bCs w:val="0"/>
          <w:color w:val="auto"/>
          <w:sz w:val="32"/>
          <w:szCs w:val="32"/>
          <w:highlight w:val="none"/>
          <w:lang w:eastAsia="zh-CN"/>
        </w:rPr>
        <w:t>其他卫生健康支出</w:t>
      </w:r>
      <w:r>
        <w:rPr>
          <w:rFonts w:hint="eastAsia" w:ascii="仿宋_GB2312" w:hAnsi="仿宋_GB2312" w:eastAsia="仿宋_GB2312" w:cs="仿宋_GB2312"/>
          <w:b w:val="0"/>
          <w:bCs w:val="0"/>
          <w:color w:val="auto"/>
          <w:sz w:val="32"/>
          <w:szCs w:val="32"/>
          <w:highlight w:val="none"/>
        </w:rPr>
        <w:t>（项）</w:t>
      </w:r>
      <w:r>
        <w:rPr>
          <w:rFonts w:hint="eastAsia" w:ascii="仿宋_GB2312" w:hAnsi="仿宋_GB2312" w:eastAsia="仿宋_GB2312" w:cs="仿宋_GB2312"/>
          <w:b w:val="0"/>
          <w:bCs w:val="0"/>
          <w:color w:val="auto"/>
          <w:sz w:val="32"/>
          <w:szCs w:val="32"/>
          <w:highlight w:val="none"/>
          <w:lang w:val="en-US" w:eastAsia="zh-CN"/>
        </w:rPr>
        <w:t>2109999支出</w:t>
      </w:r>
      <w:r>
        <w:rPr>
          <w:rFonts w:hint="eastAsia" w:ascii="仿宋_GB2312" w:hAnsi="仿宋_GB2312" w:eastAsia="仿宋_GB2312" w:cs="仿宋_GB2312"/>
          <w:b w:val="0"/>
          <w:bCs w:val="0"/>
          <w:color w:val="auto"/>
          <w:sz w:val="32"/>
          <w:szCs w:val="32"/>
          <w:highlight w:val="none"/>
        </w:rPr>
        <w:t>:支出决算为</w:t>
      </w:r>
      <w:r>
        <w:rPr>
          <w:rFonts w:hint="eastAsia" w:ascii="仿宋_GB2312" w:hAnsi="仿宋_GB2312" w:eastAsia="仿宋_GB2312" w:cs="仿宋_GB2312"/>
          <w:b w:val="0"/>
          <w:bCs w:val="0"/>
          <w:color w:val="auto"/>
          <w:sz w:val="32"/>
          <w:szCs w:val="32"/>
          <w:highlight w:val="none"/>
          <w:lang w:val="en-US" w:eastAsia="zh-CN"/>
        </w:rPr>
        <w:t>2.4</w:t>
      </w:r>
      <w:r>
        <w:rPr>
          <w:rFonts w:hint="eastAsia" w:ascii="仿宋_GB2312" w:hAnsi="仿宋_GB2312" w:eastAsia="仿宋_GB2312" w:cs="仿宋_GB2312"/>
          <w:b w:val="0"/>
          <w:bCs w:val="0"/>
          <w:color w:val="auto"/>
          <w:sz w:val="32"/>
          <w:szCs w:val="32"/>
          <w:highlight w:val="none"/>
        </w:rPr>
        <w:t>万元，完成预算</w:t>
      </w:r>
      <w:r>
        <w:rPr>
          <w:rFonts w:hint="eastAsia" w:ascii="仿宋_GB2312" w:hAnsi="仿宋_GB2312" w:eastAsia="仿宋_GB2312" w:cs="仿宋_GB2312"/>
          <w:b w:val="0"/>
          <w:bCs w:val="0"/>
          <w:color w:val="auto"/>
          <w:sz w:val="32"/>
          <w:szCs w:val="32"/>
          <w:highlight w:val="none"/>
          <w:lang w:val="en-US" w:eastAsia="zh-CN"/>
        </w:rPr>
        <w:t>100</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eastAsia="zh-CN"/>
        </w:rPr>
        <w:t>。</w:t>
      </w:r>
    </w:p>
    <w:p>
      <w:pPr>
        <w:tabs>
          <w:tab w:val="right" w:pos="8306"/>
        </w:tabs>
        <w:spacing w:line="600" w:lineRule="exact"/>
        <w:ind w:firstLine="640"/>
        <w:outlineLvl w:val="1"/>
        <w:rPr>
          <w:rStyle w:val="17"/>
          <w:color w:val="auto"/>
          <w:highlight w:val="none"/>
        </w:rPr>
      </w:pPr>
      <w:bookmarkStart w:id="42" w:name="_Toc15377214"/>
      <w:bookmarkStart w:id="43" w:name="_Toc15396608"/>
      <w:bookmarkStart w:id="44" w:name="_Toc13443"/>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般公共预算财政拨款基本支出决算情况说明</w:t>
      </w:r>
      <w:bookmarkEnd w:id="42"/>
      <w:bookmarkEnd w:id="43"/>
      <w:bookmarkEnd w:id="44"/>
      <w:r>
        <w:rPr>
          <w:rStyle w:val="17"/>
          <w:rFonts w:ascii="黑体" w:hAnsi="黑体" w:eastAsia="黑体"/>
          <w:b w:val="0"/>
          <w:color w:val="auto"/>
          <w:highlight w:val="none"/>
        </w:rPr>
        <w:tab/>
      </w:r>
    </w:p>
    <w:p>
      <w:pPr>
        <w:spacing w:line="600" w:lineRule="exact"/>
        <w:ind w:firstLine="645"/>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年一般公共预算财政拨款基本支出</w:t>
      </w:r>
      <w:r>
        <w:rPr>
          <w:rFonts w:hint="eastAsia" w:ascii="仿宋_GB2312" w:hAnsi="仿宋_GB2312" w:eastAsia="仿宋_GB2312" w:cs="仿宋_GB2312"/>
          <w:color w:val="auto"/>
          <w:sz w:val="32"/>
          <w:szCs w:val="32"/>
          <w:highlight w:val="none"/>
          <w:lang w:val="en-US" w:eastAsia="zh-CN"/>
        </w:rPr>
        <w:t>391.75</w:t>
      </w:r>
      <w:r>
        <w:rPr>
          <w:rFonts w:hint="eastAsia" w:ascii="仿宋_GB2312" w:hAnsi="仿宋_GB2312" w:eastAsia="仿宋_GB2312" w:cs="仿宋_GB2312"/>
          <w:color w:val="auto"/>
          <w:sz w:val="32"/>
          <w:szCs w:val="32"/>
          <w:highlight w:val="none"/>
        </w:rPr>
        <w:t>万元，其中：</w:t>
      </w:r>
    </w:p>
    <w:p>
      <w:pPr>
        <w:spacing w:line="600" w:lineRule="exact"/>
        <w:ind w:firstLine="645"/>
        <w:rPr>
          <w:rFonts w:ascii="仿宋" w:hAnsi="仿宋" w:eastAsia="仿宋"/>
          <w:b/>
          <w:color w:val="auto"/>
          <w:sz w:val="32"/>
          <w:szCs w:val="32"/>
          <w:highlight w:val="none"/>
        </w:rPr>
      </w:pPr>
      <w:r>
        <w:rPr>
          <w:rFonts w:hint="eastAsia" w:ascii="仿宋_GB2312" w:hAnsi="仿宋_GB2312" w:eastAsia="仿宋_GB2312" w:cs="仿宋_GB2312"/>
          <w:color w:val="auto"/>
          <w:sz w:val="32"/>
          <w:szCs w:val="32"/>
          <w:highlight w:val="none"/>
        </w:rPr>
        <w:t>人员经费</w:t>
      </w:r>
      <w:r>
        <w:rPr>
          <w:rFonts w:hint="eastAsia" w:ascii="仿宋_GB2312" w:hAnsi="仿宋_GB2312" w:eastAsia="仿宋_GB2312" w:cs="仿宋_GB2312"/>
          <w:color w:val="auto"/>
          <w:sz w:val="32"/>
          <w:szCs w:val="32"/>
          <w:highlight w:val="none"/>
          <w:lang w:val="en-US" w:eastAsia="zh-CN"/>
        </w:rPr>
        <w:t>391.75</w:t>
      </w:r>
      <w:r>
        <w:rPr>
          <w:rFonts w:hint="eastAsia" w:ascii="仿宋_GB2312" w:hAnsi="仿宋_GB2312" w:eastAsia="仿宋_GB2312" w:cs="仿宋_GB2312"/>
          <w:color w:val="auto"/>
          <w:sz w:val="32"/>
          <w:szCs w:val="32"/>
          <w:highlight w:val="none"/>
        </w:rPr>
        <w:t>万元，主要包括：基本工资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机关事业单位基本养老保险缴费、职业年金缴费</w:t>
      </w:r>
      <w:r>
        <w:rPr>
          <w:rFonts w:hint="eastAsia" w:ascii="仿宋_GB2312" w:hAnsi="仿宋_GB2312" w:eastAsia="仿宋_GB2312" w:cs="仿宋_GB2312"/>
          <w:color w:val="auto"/>
          <w:sz w:val="32"/>
          <w:szCs w:val="32"/>
          <w:highlight w:val="none"/>
          <w:lang w:eastAsia="zh-CN"/>
        </w:rPr>
        <w:t>、生活补助。</w:t>
      </w:r>
    </w:p>
    <w:p>
      <w:pPr>
        <w:spacing w:line="600" w:lineRule="exact"/>
        <w:ind w:firstLine="640"/>
        <w:outlineLvl w:val="1"/>
        <w:rPr>
          <w:rStyle w:val="17"/>
          <w:rFonts w:ascii="黑体" w:hAnsi="黑体" w:eastAsia="黑体"/>
          <w:b w:val="0"/>
          <w:color w:val="auto"/>
          <w:highlight w:val="none"/>
        </w:rPr>
      </w:pPr>
      <w:bookmarkStart w:id="45" w:name="_Toc8474"/>
      <w:bookmarkStart w:id="46" w:name="_Toc15396609"/>
      <w:bookmarkStart w:id="47" w:name="_Toc15377215"/>
      <w:r>
        <w:rPr>
          <w:rFonts w:hint="eastAsia" w:ascii="黑体" w:eastAsia="黑体"/>
          <w:color w:val="auto"/>
          <w:sz w:val="32"/>
          <w:szCs w:val="32"/>
          <w:highlight w:val="none"/>
        </w:rPr>
        <w:t>七、</w:t>
      </w:r>
      <w:r>
        <w:rPr>
          <w:rStyle w:val="17"/>
          <w:rFonts w:hint="eastAsia" w:ascii="黑体" w:hAnsi="黑体" w:eastAsia="黑体"/>
          <w:b w:val="0"/>
          <w:color w:val="auto"/>
          <w:highlight w:val="none"/>
        </w:rPr>
        <w:t>财政拨款</w:t>
      </w:r>
      <w:r>
        <w:rPr>
          <w:rStyle w:val="17"/>
          <w:rFonts w:hint="eastAsia" w:ascii="黑体" w:hAnsi="黑体" w:eastAsia="黑体"/>
          <w:color w:val="auto"/>
          <w:highlight w:val="none"/>
        </w:rPr>
        <w:t>“</w:t>
      </w:r>
      <w:r>
        <w:rPr>
          <w:rStyle w:val="17"/>
          <w:rFonts w:hint="eastAsia" w:ascii="黑体" w:hAnsi="黑体" w:eastAsia="黑体"/>
          <w:b w:val="0"/>
          <w:color w:val="auto"/>
          <w:highlight w:val="none"/>
        </w:rPr>
        <w:t>三公”经费支出决算情况说明</w:t>
      </w:r>
      <w:bookmarkEnd w:id="45"/>
      <w:bookmarkEnd w:id="46"/>
      <w:bookmarkEnd w:id="47"/>
    </w:p>
    <w:p>
      <w:pPr>
        <w:spacing w:line="600" w:lineRule="exact"/>
        <w:ind w:firstLine="640"/>
        <w:outlineLvl w:val="2"/>
        <w:rPr>
          <w:rFonts w:hint="eastAsia" w:ascii="楷体_GB2312" w:hAnsi="楷体_GB2312" w:eastAsia="楷体_GB2312" w:cs="楷体_GB2312"/>
          <w:b/>
          <w:color w:val="auto"/>
          <w:sz w:val="32"/>
          <w:szCs w:val="32"/>
          <w:highlight w:val="none"/>
        </w:rPr>
      </w:pPr>
      <w:bookmarkStart w:id="48" w:name="_Toc15377216"/>
      <w:r>
        <w:rPr>
          <w:rFonts w:hint="eastAsia" w:ascii="楷体_GB2312" w:hAnsi="楷体_GB2312" w:eastAsia="楷体_GB2312" w:cs="楷体_GB2312"/>
          <w:b/>
          <w:color w:val="auto"/>
          <w:sz w:val="32"/>
          <w:szCs w:val="32"/>
          <w:highlight w:val="none"/>
        </w:rPr>
        <w:t>（一）“三公”经费财政拨款支出决算总体情况说明</w:t>
      </w:r>
      <w:bookmarkEnd w:id="48"/>
    </w:p>
    <w:p>
      <w:pPr>
        <w:spacing w:line="600" w:lineRule="exact"/>
        <w:ind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年“三公”经费财政拨款支出决算为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p>
    <w:p>
      <w:pPr>
        <w:spacing w:line="600" w:lineRule="exact"/>
        <w:ind w:firstLine="640"/>
        <w:outlineLvl w:val="2"/>
        <w:rPr>
          <w:rFonts w:hint="eastAsia" w:ascii="楷体_GB2312" w:hAnsi="楷体_GB2312" w:eastAsia="楷体_GB2312" w:cs="楷体_GB2312"/>
          <w:b/>
          <w:color w:val="auto"/>
          <w:sz w:val="32"/>
          <w:szCs w:val="32"/>
          <w:highlight w:val="none"/>
        </w:rPr>
      </w:pPr>
      <w:bookmarkStart w:id="49" w:name="_Toc15377217"/>
      <w:r>
        <w:rPr>
          <w:rFonts w:hint="eastAsia" w:ascii="楷体_GB2312" w:hAnsi="楷体_GB2312" w:eastAsia="楷体_GB2312" w:cs="楷体_GB2312"/>
          <w:b/>
          <w:color w:val="auto"/>
          <w:sz w:val="32"/>
          <w:szCs w:val="32"/>
          <w:highlight w:val="none"/>
        </w:rPr>
        <w:t>（二）“三公”经费财政拨款支出决算具体情况说明</w:t>
      </w:r>
      <w:bookmarkEnd w:id="49"/>
    </w:p>
    <w:p>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年“三公”经费财政拨款支出决算中，因公出国（境）费支出决算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万元；公务用车购置及运行维护费支出决算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万元；公务接待费支出决算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万元。具体情况如下：</w:t>
      </w:r>
    </w:p>
    <w:p>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val="0"/>
          <w:color w:val="auto"/>
          <w:sz w:val="32"/>
          <w:szCs w:val="32"/>
          <w:highlight w:val="none"/>
        </w:rPr>
        <w:t>1.因公出国（境）经费支出</w:t>
      </w:r>
      <w:r>
        <w:rPr>
          <w:rFonts w:hint="eastAsia" w:ascii="仿宋_GB2312" w:hAnsi="仿宋_GB2312" w:eastAsia="仿宋_GB2312" w:cs="仿宋_GB2312"/>
          <w:b/>
          <w:bCs w:val="0"/>
          <w:color w:val="auto"/>
          <w:sz w:val="32"/>
          <w:szCs w:val="32"/>
          <w:highlight w:val="none"/>
          <w:lang w:val="en-US" w:eastAsia="zh-CN"/>
        </w:rPr>
        <w:t>0</w:t>
      </w:r>
      <w:r>
        <w:rPr>
          <w:rFonts w:hint="eastAsia" w:ascii="仿宋_GB2312" w:hAnsi="仿宋_GB2312" w:eastAsia="仿宋_GB2312" w:cs="仿宋_GB2312"/>
          <w:b/>
          <w:bCs w:val="0"/>
          <w:color w:val="auto"/>
          <w:sz w:val="32"/>
          <w:szCs w:val="32"/>
          <w:highlight w:val="none"/>
        </w:rPr>
        <w:t>万元</w:t>
      </w:r>
      <w:r>
        <w:rPr>
          <w:rStyle w:val="15"/>
          <w:rFonts w:hint="eastAsia" w:ascii="仿宋_GB2312" w:hAnsi="仿宋_GB2312" w:eastAsia="仿宋_GB2312" w:cs="仿宋_GB2312"/>
          <w:b/>
          <w:bCs w:val="0"/>
          <w:color w:val="auto"/>
          <w:sz w:val="32"/>
          <w:szCs w:val="32"/>
          <w:highlight w:val="none"/>
        </w:rPr>
        <w:t>。</w:t>
      </w:r>
      <w:r>
        <w:rPr>
          <w:rFonts w:hint="eastAsia" w:ascii="仿宋_GB2312" w:hAnsi="仿宋_GB2312" w:eastAsia="仿宋_GB2312" w:cs="仿宋_GB2312"/>
          <w:color w:val="auto"/>
          <w:sz w:val="32"/>
          <w:szCs w:val="32"/>
          <w:highlight w:val="none"/>
        </w:rPr>
        <w:t>全年安排因公出国（境）团组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次，出国（境）</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人。因公出国（境）支出决算</w:t>
      </w:r>
      <w:r>
        <w:rPr>
          <w:rFonts w:hint="eastAsia" w:ascii="仿宋_GB2312" w:hAnsi="仿宋_GB2312" w:eastAsia="仿宋_GB2312" w:cs="仿宋_GB2312"/>
          <w:color w:val="auto"/>
          <w:sz w:val="32"/>
          <w:szCs w:val="32"/>
          <w:highlight w:val="none"/>
          <w:lang w:eastAsia="zh-CN"/>
        </w:rPr>
        <w:t>与</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持平</w:t>
      </w:r>
      <w:r>
        <w:rPr>
          <w:rFonts w:hint="eastAsia" w:ascii="仿宋_GB2312" w:hAnsi="仿宋_GB2312" w:eastAsia="仿宋_GB2312" w:cs="仿宋_GB2312"/>
          <w:color w:val="auto"/>
          <w:sz w:val="32"/>
          <w:szCs w:val="32"/>
          <w:highlight w:val="none"/>
        </w:rPr>
        <w:t>。</w:t>
      </w:r>
    </w:p>
    <w:p>
      <w:pPr>
        <w:spacing w:line="60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val="0"/>
          <w:color w:val="auto"/>
          <w:sz w:val="32"/>
          <w:szCs w:val="32"/>
          <w:highlight w:val="none"/>
        </w:rPr>
        <w:t>2.公务用车购置及运行维护费支出</w:t>
      </w:r>
      <w:r>
        <w:rPr>
          <w:rFonts w:hint="eastAsia" w:ascii="仿宋_GB2312" w:hAnsi="仿宋_GB2312" w:eastAsia="仿宋_GB2312" w:cs="仿宋_GB2312"/>
          <w:b/>
          <w:bCs w:val="0"/>
          <w:color w:val="auto"/>
          <w:sz w:val="32"/>
          <w:szCs w:val="32"/>
          <w:highlight w:val="none"/>
          <w:lang w:val="en-US" w:eastAsia="zh-CN"/>
        </w:rPr>
        <w:t>0</w:t>
      </w:r>
      <w:r>
        <w:rPr>
          <w:rFonts w:hint="eastAsia" w:ascii="仿宋_GB2312" w:hAnsi="仿宋_GB2312" w:eastAsia="仿宋_GB2312" w:cs="仿宋_GB2312"/>
          <w:b/>
          <w:bCs w:val="0"/>
          <w:color w:val="auto"/>
          <w:sz w:val="32"/>
          <w:szCs w:val="32"/>
          <w:highlight w:val="none"/>
        </w:rPr>
        <w:t>万元</w:t>
      </w:r>
      <w:r>
        <w:rPr>
          <w:rStyle w:val="15"/>
          <w:rFonts w:hint="eastAsia" w:ascii="仿宋_GB2312" w:hAnsi="仿宋_GB2312" w:eastAsia="仿宋_GB2312" w:cs="仿宋_GB2312"/>
          <w:b/>
          <w:bCs w:val="0"/>
          <w:color w:val="auto"/>
          <w:sz w:val="32"/>
          <w:szCs w:val="32"/>
          <w:highlight w:val="none"/>
        </w:rPr>
        <w:t>。</w:t>
      </w:r>
      <w:r>
        <w:rPr>
          <w:rFonts w:hint="eastAsia" w:ascii="仿宋_GB2312" w:hAnsi="仿宋_GB2312" w:eastAsia="仿宋_GB2312" w:cs="仿宋_GB2312"/>
          <w:color w:val="auto"/>
          <w:sz w:val="32"/>
          <w:szCs w:val="32"/>
          <w:highlight w:val="none"/>
        </w:rPr>
        <w:t>公务用车购置及运行维护费支出决算</w:t>
      </w:r>
      <w:r>
        <w:rPr>
          <w:rFonts w:hint="eastAsia" w:ascii="仿宋_GB2312" w:hAnsi="仿宋_GB2312" w:eastAsia="仿宋_GB2312" w:cs="仿宋_GB2312"/>
          <w:color w:val="auto"/>
          <w:sz w:val="32"/>
          <w:szCs w:val="32"/>
          <w:highlight w:val="none"/>
          <w:lang w:eastAsia="zh-CN"/>
        </w:rPr>
        <w:t>与</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持平</w:t>
      </w:r>
      <w:r>
        <w:rPr>
          <w:rFonts w:hint="eastAsia" w:ascii="仿宋_GB2312" w:hAnsi="仿宋_GB2312" w:eastAsia="仿宋_GB2312" w:cs="仿宋_GB2312"/>
          <w:color w:val="auto"/>
          <w:sz w:val="32"/>
          <w:szCs w:val="32"/>
          <w:highlight w:val="none"/>
        </w:rPr>
        <w:t>。</w:t>
      </w:r>
    </w:p>
    <w:p>
      <w:pPr>
        <w:spacing w:line="600" w:lineRule="exact"/>
        <w:ind w:firstLine="640"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其中：</w:t>
      </w:r>
      <w:r>
        <w:rPr>
          <w:rFonts w:hint="eastAsia" w:ascii="仿宋_GB2312" w:hAnsi="仿宋_GB2312" w:eastAsia="仿宋_GB2312" w:cs="仿宋_GB2312"/>
          <w:b w:val="0"/>
          <w:bCs/>
          <w:color w:val="auto"/>
          <w:sz w:val="32"/>
          <w:szCs w:val="32"/>
          <w:highlight w:val="none"/>
        </w:rPr>
        <w:t>公务用车购置支出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万元。全年按规定更新购置公务用车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辆。截至20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年12月底，单位共有公务用车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p>
    <w:p>
      <w:p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color w:val="auto"/>
          <w:sz w:val="32"/>
          <w:szCs w:val="32"/>
          <w:highlight w:val="none"/>
        </w:rPr>
        <w:t>公务用车运行维护费支出</w:t>
      </w:r>
      <w:r>
        <w:rPr>
          <w:rFonts w:hint="eastAsia" w:ascii="仿宋_GB2312" w:hAnsi="仿宋_GB2312" w:eastAsia="仿宋_GB2312" w:cs="仿宋_GB2312"/>
          <w:b w:val="0"/>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pPr>
        <w:numPr>
          <w:ilvl w:val="0"/>
          <w:numId w:val="0"/>
        </w:numPr>
        <w:spacing w:line="60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val="0"/>
          <w:color w:val="auto"/>
          <w:sz w:val="32"/>
          <w:szCs w:val="32"/>
          <w:highlight w:val="none"/>
          <w:lang w:val="en-US" w:eastAsia="zh-CN"/>
        </w:rPr>
        <w:t>3.</w:t>
      </w:r>
      <w:r>
        <w:rPr>
          <w:rFonts w:hint="eastAsia" w:ascii="仿宋_GB2312" w:hAnsi="仿宋_GB2312" w:eastAsia="仿宋_GB2312" w:cs="仿宋_GB2312"/>
          <w:b/>
          <w:bCs w:val="0"/>
          <w:color w:val="auto"/>
          <w:sz w:val="32"/>
          <w:szCs w:val="32"/>
          <w:highlight w:val="none"/>
        </w:rPr>
        <w:t>公务接待费支出</w:t>
      </w:r>
      <w:r>
        <w:rPr>
          <w:rFonts w:hint="eastAsia" w:ascii="仿宋_GB2312" w:hAnsi="仿宋_GB2312" w:eastAsia="仿宋_GB2312" w:cs="仿宋_GB2312"/>
          <w:b/>
          <w:bCs w:val="0"/>
          <w:color w:val="auto"/>
          <w:sz w:val="32"/>
          <w:szCs w:val="32"/>
          <w:highlight w:val="none"/>
          <w:lang w:val="en-US" w:eastAsia="zh-CN"/>
        </w:rPr>
        <w:t>0</w:t>
      </w:r>
      <w:r>
        <w:rPr>
          <w:rFonts w:hint="eastAsia" w:ascii="仿宋_GB2312" w:hAnsi="仿宋_GB2312" w:eastAsia="仿宋_GB2312" w:cs="仿宋_GB2312"/>
          <w:b/>
          <w:bCs w:val="0"/>
          <w:color w:val="auto"/>
          <w:sz w:val="32"/>
          <w:szCs w:val="32"/>
          <w:highlight w:val="none"/>
        </w:rPr>
        <w:t>万元</w:t>
      </w:r>
      <w:r>
        <w:rPr>
          <w:rStyle w:val="15"/>
          <w:rFonts w:hint="eastAsia" w:ascii="仿宋_GB2312" w:hAnsi="仿宋_GB2312" w:eastAsia="仿宋_GB2312" w:cs="仿宋_GB2312"/>
          <w:b/>
          <w:bCs w:val="0"/>
          <w:color w:val="auto"/>
          <w:sz w:val="32"/>
          <w:szCs w:val="32"/>
          <w:highlight w:val="none"/>
        </w:rPr>
        <w:t>。</w:t>
      </w:r>
      <w:r>
        <w:rPr>
          <w:rFonts w:hint="eastAsia" w:ascii="仿宋_GB2312" w:hAnsi="仿宋_GB2312" w:eastAsia="仿宋_GB2312" w:cs="仿宋_GB2312"/>
          <w:color w:val="auto"/>
          <w:sz w:val="32"/>
          <w:szCs w:val="32"/>
          <w:highlight w:val="none"/>
        </w:rPr>
        <w:t>公务接待费支出决算</w:t>
      </w:r>
      <w:r>
        <w:rPr>
          <w:rFonts w:hint="eastAsia" w:ascii="仿宋_GB2312" w:hAnsi="仿宋_GB2312" w:eastAsia="仿宋_GB2312" w:cs="仿宋_GB2312"/>
          <w:color w:val="auto"/>
          <w:sz w:val="32"/>
          <w:szCs w:val="32"/>
          <w:highlight w:val="none"/>
          <w:lang w:eastAsia="zh-CN"/>
        </w:rPr>
        <w:t>与</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持平</w:t>
      </w:r>
      <w:r>
        <w:rPr>
          <w:rFonts w:hint="eastAsia" w:ascii="仿宋_GB2312" w:hAnsi="仿宋_GB2312" w:eastAsia="仿宋_GB2312" w:cs="仿宋_GB2312"/>
          <w:color w:val="auto"/>
          <w:sz w:val="32"/>
          <w:szCs w:val="32"/>
          <w:highlight w:val="none"/>
        </w:rPr>
        <w:t>。</w:t>
      </w:r>
    </w:p>
    <w:p>
      <w:pPr>
        <w:numPr>
          <w:ilvl w:val="0"/>
          <w:numId w:val="0"/>
        </w:num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color w:val="auto"/>
          <w:sz w:val="32"/>
          <w:szCs w:val="32"/>
          <w:highlight w:val="none"/>
        </w:rPr>
        <w:t>国内公务接待支出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万元，国内公务接待</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批次，</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人次（不包括陪同人员），共计支出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pPr>
        <w:spacing w:line="600" w:lineRule="exact"/>
        <w:ind w:firstLine="640" w:firstLineChars="200"/>
        <w:rPr>
          <w:rFonts w:ascii="黑体" w:eastAsia="黑体"/>
          <w:color w:val="auto"/>
          <w:sz w:val="32"/>
          <w:szCs w:val="32"/>
          <w:highlight w:val="none"/>
        </w:rPr>
      </w:pPr>
      <w:r>
        <w:rPr>
          <w:rFonts w:hint="eastAsia" w:ascii="仿宋_GB2312" w:hAnsi="仿宋_GB2312" w:eastAsia="仿宋_GB2312" w:cs="仿宋_GB2312"/>
          <w:b w:val="0"/>
          <w:bCs/>
          <w:color w:val="auto"/>
          <w:sz w:val="32"/>
          <w:szCs w:val="32"/>
          <w:highlight w:val="none"/>
        </w:rPr>
        <w:t>外事接待支出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外事接待</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批次，</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人</w:t>
      </w:r>
      <w:r>
        <w:rPr>
          <w:rFonts w:hint="eastAsia" w:ascii="仿宋_GB2312" w:hAnsi="仿宋_GB2312" w:eastAsia="仿宋_GB2312" w:cs="仿宋_GB2312"/>
          <w:color w:val="auto"/>
          <w:sz w:val="32"/>
          <w:szCs w:val="32"/>
          <w:highlight w:val="none"/>
          <w:lang w:eastAsia="zh-CN"/>
        </w:rPr>
        <w:t>次（不包括陪同人员）</w:t>
      </w:r>
      <w:r>
        <w:rPr>
          <w:rFonts w:hint="eastAsia" w:ascii="仿宋_GB2312" w:hAnsi="仿宋_GB2312" w:eastAsia="仿宋_GB2312" w:cs="仿宋_GB2312"/>
          <w:color w:val="auto"/>
          <w:sz w:val="32"/>
          <w:szCs w:val="32"/>
          <w:highlight w:val="none"/>
        </w:rPr>
        <w:t>，共计支出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bookmarkStart w:id="50" w:name="_Toc15396610"/>
      <w:bookmarkStart w:id="51" w:name="_Toc15377218"/>
    </w:p>
    <w:p>
      <w:pPr>
        <w:spacing w:line="600" w:lineRule="exact"/>
        <w:ind w:firstLine="640"/>
        <w:outlineLvl w:val="1"/>
        <w:rPr>
          <w:rStyle w:val="17"/>
          <w:rFonts w:ascii="黑体" w:hAnsi="黑体" w:eastAsia="黑体"/>
          <w:color w:val="auto"/>
          <w:highlight w:val="none"/>
        </w:rPr>
      </w:pPr>
      <w:bookmarkStart w:id="52" w:name="_Toc15995"/>
      <w:r>
        <w:rPr>
          <w:rFonts w:hint="eastAsia" w:ascii="黑体" w:eastAsia="黑体"/>
          <w:color w:val="auto"/>
          <w:sz w:val="32"/>
          <w:szCs w:val="32"/>
          <w:highlight w:val="none"/>
        </w:rPr>
        <w:t>八、</w:t>
      </w:r>
      <w:r>
        <w:rPr>
          <w:rStyle w:val="17"/>
          <w:rFonts w:hint="eastAsia" w:ascii="黑体" w:hAnsi="黑体" w:eastAsia="黑体"/>
          <w:b w:val="0"/>
          <w:color w:val="auto"/>
          <w:highlight w:val="none"/>
        </w:rPr>
        <w:t>政府性基金预算支出决算情况说明</w:t>
      </w:r>
      <w:bookmarkEnd w:id="50"/>
      <w:bookmarkEnd w:id="51"/>
      <w:bookmarkEnd w:id="52"/>
    </w:p>
    <w:p>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年政府性基金预算</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拨款支出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pPr>
        <w:numPr>
          <w:ilvl w:val="0"/>
          <w:numId w:val="5"/>
        </w:numPr>
        <w:spacing w:line="600" w:lineRule="exact"/>
        <w:ind w:firstLine="640"/>
        <w:outlineLvl w:val="1"/>
        <w:rPr>
          <w:rStyle w:val="17"/>
          <w:rFonts w:ascii="黑体" w:hAnsi="黑体" w:eastAsia="黑体"/>
          <w:b w:val="0"/>
          <w:color w:val="auto"/>
          <w:highlight w:val="none"/>
        </w:rPr>
      </w:pPr>
      <w:bookmarkStart w:id="53" w:name="_Toc15396611"/>
      <w:bookmarkStart w:id="54" w:name="_Toc27738"/>
      <w:bookmarkStart w:id="55" w:name="_Toc15377219"/>
      <w:r>
        <w:rPr>
          <w:rStyle w:val="17"/>
          <w:rFonts w:hint="eastAsia" w:ascii="黑体" w:hAnsi="黑体" w:eastAsia="黑体"/>
          <w:b w:val="0"/>
          <w:color w:val="auto"/>
          <w:highlight w:val="none"/>
        </w:rPr>
        <w:t>国有资本经营预算支出决算情况说明</w:t>
      </w:r>
      <w:bookmarkEnd w:id="53"/>
      <w:bookmarkEnd w:id="54"/>
      <w:bookmarkEnd w:id="55"/>
    </w:p>
    <w:p>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年国有资本经营预算</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拨款支出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pPr>
        <w:numPr>
          <w:ilvl w:val="0"/>
          <w:numId w:val="5"/>
        </w:numPr>
        <w:spacing w:line="600" w:lineRule="exact"/>
        <w:ind w:firstLine="640"/>
        <w:outlineLvl w:val="1"/>
        <w:rPr>
          <w:rStyle w:val="17"/>
          <w:rFonts w:hint="eastAsia" w:ascii="黑体" w:hAnsi="黑体" w:eastAsia="黑体"/>
          <w:b w:val="0"/>
          <w:color w:val="auto"/>
          <w:highlight w:val="none"/>
        </w:rPr>
      </w:pPr>
      <w:bookmarkStart w:id="56" w:name="_Toc15377221"/>
      <w:bookmarkStart w:id="57" w:name="_Toc617"/>
      <w:bookmarkStart w:id="58" w:name="_Toc15396612"/>
      <w:r>
        <w:rPr>
          <w:rStyle w:val="17"/>
          <w:rFonts w:hint="eastAsia" w:ascii="黑体" w:hAnsi="黑体" w:eastAsia="黑体"/>
          <w:b w:val="0"/>
          <w:color w:val="auto"/>
          <w:highlight w:val="none"/>
        </w:rPr>
        <w:t>其他重要事项的情况说明</w:t>
      </w:r>
      <w:bookmarkEnd w:id="56"/>
      <w:bookmarkEnd w:id="57"/>
      <w:bookmarkEnd w:id="58"/>
    </w:p>
    <w:p>
      <w:pPr>
        <w:spacing w:line="600" w:lineRule="exact"/>
        <w:ind w:firstLine="643" w:firstLineChars="200"/>
        <w:outlineLvl w:val="2"/>
        <w:rPr>
          <w:rFonts w:hint="eastAsia" w:ascii="楷体_GB2312" w:hAnsi="楷体_GB2312" w:eastAsia="楷体_GB2312" w:cs="楷体_GB2312"/>
          <w:color w:val="auto"/>
          <w:sz w:val="32"/>
          <w:szCs w:val="32"/>
          <w:highlight w:val="none"/>
        </w:rPr>
      </w:pPr>
      <w:bookmarkStart w:id="59" w:name="_Toc15377222"/>
      <w:r>
        <w:rPr>
          <w:rFonts w:hint="eastAsia" w:ascii="楷体_GB2312" w:hAnsi="楷体_GB2312" w:eastAsia="楷体_GB2312" w:cs="楷体_GB2312"/>
          <w:b/>
          <w:color w:val="auto"/>
          <w:sz w:val="32"/>
          <w:szCs w:val="32"/>
          <w:highlight w:val="none"/>
        </w:rPr>
        <w:t>（一）机关运行经费支出情况</w:t>
      </w:r>
      <w:bookmarkEnd w:id="59"/>
    </w:p>
    <w:p>
      <w:pPr>
        <w:spacing w:line="600" w:lineRule="exact"/>
        <w:ind w:firstLine="640" w:firstLineChars="200"/>
        <w:outlineLvl w:val="2"/>
        <w:rPr>
          <w:rFonts w:hint="eastAsia" w:ascii="仿宋_GB2312" w:hAnsi="仿宋_GB2312" w:eastAsia="仿宋_GB2312" w:cs="仿宋_GB2312"/>
          <w:color w:val="auto"/>
          <w:sz w:val="32"/>
          <w:szCs w:val="32"/>
          <w:highlight w:val="none"/>
        </w:rPr>
      </w:pPr>
      <w:bookmarkStart w:id="60" w:name="_Toc15377223"/>
      <w:r>
        <w:rPr>
          <w:rFonts w:hint="eastAsia" w:ascii="仿宋_GB2312" w:hAnsi="仿宋_GB2312" w:eastAsia="仿宋_GB2312" w:cs="仿宋_GB2312"/>
          <w:color w:val="auto"/>
          <w:sz w:val="32"/>
          <w:szCs w:val="32"/>
          <w:highlight w:val="none"/>
        </w:rPr>
        <w:t>我单位为事业单位，未纳入“机关运行经费统计范围”，2025年机关运行经费支出为0，与上年持平。</w:t>
      </w:r>
    </w:p>
    <w:p>
      <w:pPr>
        <w:spacing w:line="600" w:lineRule="exact"/>
        <w:ind w:firstLine="643" w:firstLineChars="200"/>
        <w:outlineLvl w:val="2"/>
        <w:rPr>
          <w:rFonts w:hint="eastAsia"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（二）政府采购支出情况</w:t>
      </w:r>
      <w:bookmarkEnd w:id="60"/>
    </w:p>
    <w:p>
      <w:pPr>
        <w:spacing w:line="600" w:lineRule="exact"/>
        <w:ind w:firstLine="640"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宜宾市第三中医医院</w:t>
      </w:r>
      <w:r>
        <w:rPr>
          <w:rFonts w:hint="eastAsia" w:ascii="仿宋_GB2312" w:hAnsi="仿宋_GB2312" w:eastAsia="仿宋_GB2312" w:cs="仿宋_GB2312"/>
          <w:color w:val="auto"/>
          <w:sz w:val="32"/>
          <w:szCs w:val="32"/>
          <w:highlight w:val="none"/>
        </w:rPr>
        <w:t>政府采购支出总额</w:t>
      </w:r>
      <w:r>
        <w:rPr>
          <w:rFonts w:hint="eastAsia" w:ascii="仿宋_GB2312" w:hAnsi="仿宋_GB2312" w:eastAsia="仿宋_GB2312" w:cs="仿宋_GB2312"/>
          <w:color w:val="auto"/>
          <w:sz w:val="32"/>
          <w:szCs w:val="32"/>
          <w:highlight w:val="none"/>
          <w:lang w:val="en-US" w:eastAsia="zh-CN"/>
        </w:rPr>
        <w:t>503.45</w:t>
      </w:r>
      <w:r>
        <w:rPr>
          <w:rFonts w:hint="eastAsia" w:ascii="仿宋_GB2312" w:hAnsi="仿宋_GB2312" w:eastAsia="仿宋_GB2312" w:cs="仿宋_GB2312"/>
          <w:color w:val="auto"/>
          <w:sz w:val="32"/>
          <w:szCs w:val="32"/>
          <w:highlight w:val="none"/>
        </w:rPr>
        <w:t>万元，其中：政府采购货物支出</w:t>
      </w:r>
      <w:r>
        <w:rPr>
          <w:rFonts w:hint="eastAsia" w:ascii="仿宋_GB2312" w:hAnsi="仿宋_GB2312" w:eastAsia="仿宋_GB2312" w:cs="仿宋_GB2312"/>
          <w:color w:val="auto"/>
          <w:sz w:val="32"/>
          <w:szCs w:val="32"/>
          <w:highlight w:val="none"/>
          <w:lang w:val="en-US" w:eastAsia="zh-CN"/>
        </w:rPr>
        <w:t>497.75</w:t>
      </w:r>
      <w:r>
        <w:rPr>
          <w:rFonts w:hint="eastAsia" w:ascii="仿宋_GB2312" w:hAnsi="仿宋_GB2312" w:eastAsia="仿宋_GB2312" w:cs="仿宋_GB2312"/>
          <w:color w:val="auto"/>
          <w:sz w:val="32"/>
          <w:szCs w:val="32"/>
          <w:highlight w:val="none"/>
        </w:rPr>
        <w:t>万元、政府采购工程支出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万元、政府采购服务支出</w:t>
      </w:r>
      <w:r>
        <w:rPr>
          <w:rFonts w:hint="eastAsia" w:ascii="仿宋_GB2312" w:hAnsi="仿宋_GB2312" w:eastAsia="仿宋_GB2312" w:cs="仿宋_GB2312"/>
          <w:color w:val="auto"/>
          <w:sz w:val="32"/>
          <w:szCs w:val="32"/>
          <w:highlight w:val="none"/>
          <w:lang w:val="en-US" w:eastAsia="zh-CN"/>
        </w:rPr>
        <w:t>5.7</w:t>
      </w:r>
      <w:r>
        <w:rPr>
          <w:rFonts w:hint="eastAsia" w:ascii="仿宋_GB2312" w:hAnsi="仿宋_GB2312" w:eastAsia="仿宋_GB2312" w:cs="仿宋_GB2312"/>
          <w:color w:val="auto"/>
          <w:sz w:val="32"/>
          <w:szCs w:val="32"/>
          <w:highlight w:val="none"/>
        </w:rPr>
        <w:t>万元。主要用于</w:t>
      </w:r>
      <w:r>
        <w:rPr>
          <w:rFonts w:hint="eastAsia" w:ascii="仿宋_GB2312" w:hAnsi="仿宋_GB2312" w:eastAsia="仿宋_GB2312" w:cs="仿宋_GB2312"/>
          <w:color w:val="auto"/>
          <w:sz w:val="32"/>
          <w:szCs w:val="32"/>
          <w:highlight w:val="none"/>
          <w:lang w:eastAsia="zh-CN"/>
        </w:rPr>
        <w:t>新院区建设采购医疗设备</w:t>
      </w:r>
      <w:r>
        <w:rPr>
          <w:rFonts w:hint="eastAsia" w:ascii="仿宋_GB2312" w:hAnsi="仿宋_GB2312" w:eastAsia="仿宋_GB2312" w:cs="仿宋_GB2312"/>
          <w:color w:val="auto"/>
          <w:sz w:val="32"/>
          <w:szCs w:val="32"/>
          <w:highlight w:val="none"/>
        </w:rPr>
        <w:t>。授予中小企业合同金额</w:t>
      </w:r>
      <w:r>
        <w:rPr>
          <w:rFonts w:hint="eastAsia" w:ascii="仿宋_GB2312" w:hAnsi="仿宋_GB2312" w:eastAsia="仿宋_GB2312" w:cs="仿宋_GB2312"/>
          <w:color w:val="auto"/>
          <w:sz w:val="32"/>
          <w:szCs w:val="32"/>
          <w:highlight w:val="none"/>
          <w:lang w:val="en-US" w:eastAsia="zh-CN"/>
        </w:rPr>
        <w:t>497.75</w:t>
      </w:r>
      <w:r>
        <w:rPr>
          <w:rFonts w:hint="eastAsia" w:ascii="仿宋_GB2312" w:hAnsi="仿宋_GB2312" w:eastAsia="仿宋_GB2312" w:cs="仿宋_GB2312"/>
          <w:color w:val="auto"/>
          <w:sz w:val="32"/>
          <w:szCs w:val="32"/>
          <w:highlight w:val="none"/>
        </w:rPr>
        <w:t>万元，占政府采购支出总额的</w:t>
      </w:r>
      <w:r>
        <w:rPr>
          <w:rFonts w:hint="eastAsia" w:ascii="仿宋_GB2312" w:hAnsi="仿宋_GB2312" w:eastAsia="仿宋_GB2312" w:cs="仿宋_GB2312"/>
          <w:color w:val="auto"/>
          <w:sz w:val="32"/>
          <w:szCs w:val="32"/>
          <w:highlight w:val="none"/>
          <w:lang w:val="en-US" w:eastAsia="zh-CN"/>
        </w:rPr>
        <w:t>98.87</w:t>
      </w:r>
      <w:r>
        <w:rPr>
          <w:rFonts w:hint="eastAsia" w:ascii="仿宋_GB2312" w:hAnsi="仿宋_GB2312" w:eastAsia="仿宋_GB2312" w:cs="仿宋_GB2312"/>
          <w:color w:val="auto"/>
          <w:sz w:val="32"/>
          <w:szCs w:val="32"/>
          <w:highlight w:val="none"/>
        </w:rPr>
        <w:t>%，其中：授予小微企业合同金额</w:t>
      </w:r>
      <w:r>
        <w:rPr>
          <w:rFonts w:hint="eastAsia" w:ascii="仿宋_GB2312" w:hAnsi="仿宋_GB2312" w:eastAsia="仿宋_GB2312" w:cs="仿宋_GB2312"/>
          <w:color w:val="auto"/>
          <w:sz w:val="32"/>
          <w:szCs w:val="32"/>
          <w:highlight w:val="none"/>
          <w:lang w:val="en-US" w:eastAsia="zh-CN"/>
        </w:rPr>
        <w:t>314.48</w:t>
      </w:r>
      <w:r>
        <w:rPr>
          <w:rFonts w:hint="eastAsia" w:ascii="仿宋_GB2312" w:hAnsi="仿宋_GB2312" w:eastAsia="仿宋_GB2312" w:cs="仿宋_GB2312"/>
          <w:color w:val="auto"/>
          <w:sz w:val="32"/>
          <w:szCs w:val="32"/>
          <w:highlight w:val="none"/>
        </w:rPr>
        <w:t>万元，占政府采购支出总额的</w:t>
      </w:r>
      <w:r>
        <w:rPr>
          <w:rFonts w:hint="eastAsia" w:ascii="仿宋_GB2312" w:hAnsi="仿宋_GB2312" w:eastAsia="仿宋_GB2312" w:cs="仿宋_GB2312"/>
          <w:color w:val="auto"/>
          <w:sz w:val="32"/>
          <w:szCs w:val="32"/>
          <w:highlight w:val="none"/>
          <w:lang w:val="en-US" w:eastAsia="zh-CN"/>
        </w:rPr>
        <w:t>62.46</w:t>
      </w:r>
      <w:r>
        <w:rPr>
          <w:rFonts w:hint="eastAsia" w:ascii="仿宋_GB2312" w:hAnsi="仿宋_GB2312" w:eastAsia="仿宋_GB2312" w:cs="仿宋_GB2312"/>
          <w:color w:val="auto"/>
          <w:sz w:val="32"/>
          <w:szCs w:val="32"/>
          <w:highlight w:val="none"/>
        </w:rPr>
        <w:t>%。</w:t>
      </w:r>
      <w:bookmarkStart w:id="61" w:name="_Toc15377224"/>
    </w:p>
    <w:p>
      <w:pPr>
        <w:spacing w:line="600" w:lineRule="exact"/>
        <w:ind w:firstLine="643" w:firstLineChars="200"/>
        <w:outlineLvl w:val="2"/>
        <w:rPr>
          <w:rFonts w:hint="eastAsia"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（三）国有资产占有使用情况</w:t>
      </w:r>
      <w:bookmarkEnd w:id="61"/>
    </w:p>
    <w:p>
      <w:pPr>
        <w:autoSpaceDE w:val="0"/>
        <w:autoSpaceDN w:val="0"/>
        <w:adjustRightInd w:val="0"/>
        <w:spacing w:line="60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截至20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年12月31日，</w:t>
      </w:r>
      <w:r>
        <w:rPr>
          <w:rFonts w:hint="eastAsia" w:ascii="仿宋_GB2312" w:hAnsi="仿宋_GB2312" w:eastAsia="仿宋_GB2312" w:cs="仿宋_GB2312"/>
          <w:color w:val="auto"/>
          <w:sz w:val="32"/>
          <w:szCs w:val="32"/>
          <w:highlight w:val="none"/>
          <w:lang w:eastAsia="zh-CN"/>
        </w:rPr>
        <w:t>宜宾市第三中医医院</w:t>
      </w:r>
      <w:r>
        <w:rPr>
          <w:rFonts w:hint="eastAsia" w:ascii="仿宋_GB2312" w:hAnsi="仿宋_GB2312" w:eastAsia="仿宋_GB2312" w:cs="仿宋_GB2312"/>
          <w:color w:val="auto"/>
          <w:sz w:val="32"/>
          <w:szCs w:val="32"/>
          <w:highlight w:val="none"/>
        </w:rPr>
        <w:t>共有车辆</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辆，其中：主要</w:t>
      </w:r>
      <w:r>
        <w:rPr>
          <w:rFonts w:hint="eastAsia" w:ascii="仿宋_GB2312" w:hAnsi="仿宋_GB2312" w:eastAsia="仿宋_GB2312" w:cs="仿宋_GB2312"/>
          <w:color w:val="auto"/>
          <w:sz w:val="32"/>
          <w:szCs w:val="32"/>
          <w:highlight w:val="none"/>
          <w:lang w:eastAsia="zh-CN"/>
        </w:rPr>
        <w:t>负责人</w:t>
      </w:r>
      <w:r>
        <w:rPr>
          <w:rFonts w:hint="eastAsia" w:ascii="仿宋_GB2312" w:hAnsi="仿宋_GB2312" w:eastAsia="仿宋_GB2312" w:cs="仿宋_GB2312"/>
          <w:color w:val="auto"/>
          <w:sz w:val="32"/>
          <w:szCs w:val="32"/>
          <w:highlight w:val="none"/>
        </w:rPr>
        <w:t>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辆、机要通信用车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辆、应急保障用车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辆、其他用车</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其他用车主要是用于</w:t>
      </w:r>
      <w:r>
        <w:rPr>
          <w:rFonts w:hint="eastAsia" w:ascii="仿宋_GB2312" w:hAnsi="仿宋_GB2312" w:eastAsia="仿宋_GB2312" w:cs="仿宋_GB2312"/>
          <w:color w:val="auto"/>
          <w:sz w:val="32"/>
          <w:szCs w:val="32"/>
          <w:highlight w:val="none"/>
          <w:lang w:eastAsia="zh-CN"/>
        </w:rPr>
        <w:t>转运病人。</w:t>
      </w:r>
      <w:r>
        <w:rPr>
          <w:rFonts w:hint="eastAsia" w:ascii="仿宋_GB2312" w:hAnsi="仿宋_GB2312" w:eastAsia="仿宋_GB2312" w:cs="仿宋_GB2312"/>
          <w:color w:val="auto"/>
          <w:sz w:val="32"/>
          <w:szCs w:val="32"/>
          <w:highlight w:val="none"/>
        </w:rPr>
        <w:t>单价100万元以上专用设备</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台（套）。</w:t>
      </w:r>
    </w:p>
    <w:p>
      <w:pPr>
        <w:spacing w:line="600" w:lineRule="exact"/>
        <w:ind w:firstLine="643" w:firstLineChars="200"/>
        <w:outlineLvl w:val="2"/>
        <w:rPr>
          <w:rFonts w:hint="eastAsia" w:ascii="楷体_GB2312" w:hAnsi="楷体_GB2312" w:eastAsia="楷体_GB2312" w:cs="楷体_GB2312"/>
          <w:b/>
          <w:color w:val="auto"/>
          <w:sz w:val="32"/>
          <w:szCs w:val="32"/>
          <w:highlight w:val="none"/>
          <w:lang w:eastAsia="zh-CN"/>
        </w:rPr>
      </w:pPr>
      <w:r>
        <w:rPr>
          <w:rFonts w:hint="eastAsia" w:ascii="楷体_GB2312" w:hAnsi="楷体_GB2312" w:eastAsia="楷体_GB2312" w:cs="楷体_GB2312"/>
          <w:b/>
          <w:color w:val="auto"/>
          <w:sz w:val="32"/>
          <w:szCs w:val="32"/>
          <w:highlight w:val="none"/>
        </w:rPr>
        <w:t>（四）预算绩效管理情况</w:t>
      </w:r>
    </w:p>
    <w:p>
      <w:pPr>
        <w:pStyle w:val="8"/>
        <w:ind w:firstLine="640" w:firstLineChars="200"/>
        <w:rPr>
          <w:rFonts w:hint="eastAsia" w:ascii="仿宋_GB2312" w:hAnsi="仿宋_GB2312" w:eastAsia="仿宋_GB2312" w:cs="仿宋_GB2312"/>
          <w:color w:val="auto"/>
          <w:highlight w:val="yellow"/>
        </w:rPr>
      </w:pPr>
      <w:r>
        <w:rPr>
          <w:rFonts w:hint="eastAsia" w:ascii="仿宋_GB2312" w:hAnsi="仿宋_GB2312" w:eastAsia="仿宋_GB2312" w:cs="仿宋_GB2312"/>
          <w:color w:val="auto"/>
          <w:sz w:val="32"/>
          <w:szCs w:val="32"/>
          <w:highlight w:val="none"/>
        </w:rPr>
        <w:t>根据预算绩效管理要求，本单位在202</w:t>
      </w:r>
      <w:r>
        <w:rPr>
          <w:rFonts w:hint="eastAsia"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eastAsia="zh-CN"/>
        </w:rPr>
        <w:t>基本工资</w:t>
      </w:r>
      <w:r>
        <w:rPr>
          <w:rFonts w:hint="eastAsia" w:ascii="仿宋_GB2312" w:hAnsi="仿宋_GB2312" w:eastAsia="仿宋_GB2312" w:cs="仿宋_GB2312"/>
          <w:color w:val="auto"/>
          <w:sz w:val="32"/>
          <w:szCs w:val="32"/>
          <w:highlight w:val="none"/>
        </w:rPr>
        <w:t>项目等</w:t>
      </w:r>
      <w:r>
        <w:rPr>
          <w:rFonts w:hint="eastAsia"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个项目开展了预算事前绩效评估，对</w:t>
      </w:r>
      <w:r>
        <w:rPr>
          <w:rFonts w:hint="eastAsia"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个项目编制了绩效目标，预算执行过程中，选取</w:t>
      </w:r>
      <w:r>
        <w:rPr>
          <w:rFonts w:hint="eastAsia"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个项目开展绩效监控，组织</w:t>
      </w:r>
      <w:r>
        <w:rPr>
          <w:rFonts w:hint="eastAsia" w:ascii="仿宋_GB2312" w:hAnsi="仿宋_GB2312" w:eastAsia="仿宋_GB2312" w:cs="仿宋_GB2312"/>
          <w:color w:val="auto"/>
          <w:sz w:val="32"/>
          <w:szCs w:val="32"/>
          <w:highlight w:val="none"/>
          <w:lang w:eastAsia="zh-CN"/>
        </w:rPr>
        <w:t>对</w:t>
      </w:r>
      <w:r>
        <w:rPr>
          <w:rFonts w:hint="eastAsia"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个项目开展绩效自评，绩效自评表详见</w:t>
      </w:r>
      <w:r>
        <w:rPr>
          <w:rFonts w:hint="eastAsia" w:ascii="仿宋_GB2312" w:hAnsi="仿宋_GB2312" w:eastAsia="仿宋_GB2312" w:cs="仿宋_GB2312"/>
          <w:color w:val="auto"/>
          <w:sz w:val="32"/>
          <w:szCs w:val="32"/>
          <w:highlight w:val="none"/>
          <w:lang w:eastAsia="zh-CN"/>
        </w:rPr>
        <w:t>第四部分</w:t>
      </w:r>
      <w:r>
        <w:rPr>
          <w:rFonts w:hint="eastAsia" w:ascii="仿宋_GB2312" w:hAnsi="仿宋_GB2312" w:eastAsia="仿宋_GB2312" w:cs="仿宋_GB2312"/>
          <w:color w:val="auto"/>
          <w:sz w:val="32"/>
          <w:szCs w:val="32"/>
          <w:highlight w:val="none"/>
        </w:rPr>
        <w:t>附件。</w:t>
      </w:r>
    </w:p>
    <w:p>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pPr>
        <w:numPr>
          <w:ilvl w:val="0"/>
          <w:numId w:val="6"/>
        </w:numPr>
        <w:spacing w:line="600" w:lineRule="exact"/>
        <w:ind w:firstLine="660" w:firstLineChars="150"/>
        <w:jc w:val="center"/>
        <w:outlineLvl w:val="0"/>
        <w:rPr>
          <w:rStyle w:val="16"/>
          <w:rFonts w:ascii="黑体" w:hAnsi="黑体" w:eastAsia="黑体"/>
          <w:b w:val="0"/>
          <w:color w:val="auto"/>
          <w:highlight w:val="none"/>
        </w:rPr>
      </w:pPr>
      <w:bookmarkStart w:id="62" w:name="_Toc15396613"/>
      <w:bookmarkStart w:id="63" w:name="_Toc3107"/>
      <w:bookmarkStart w:id="64" w:name="_Toc15377225"/>
      <w:r>
        <w:rPr>
          <w:rFonts w:hint="eastAsia" w:ascii="黑体" w:hAnsi="黑体" w:eastAsia="黑体"/>
          <w:color w:val="auto"/>
          <w:sz w:val="44"/>
          <w:szCs w:val="44"/>
          <w:highlight w:val="none"/>
        </w:rPr>
        <w:t>名</w:t>
      </w:r>
      <w:r>
        <w:rPr>
          <w:rStyle w:val="16"/>
          <w:rFonts w:hint="eastAsia" w:ascii="黑体" w:hAnsi="黑体" w:eastAsia="黑体"/>
          <w:b w:val="0"/>
          <w:color w:val="auto"/>
          <w:highlight w:val="none"/>
        </w:rPr>
        <w:t>词解释</w:t>
      </w:r>
      <w:bookmarkEnd w:id="62"/>
      <w:bookmarkEnd w:id="63"/>
      <w:bookmarkEnd w:id="64"/>
    </w:p>
    <w:p>
      <w:pPr>
        <w:spacing w:line="600" w:lineRule="exact"/>
        <w:jc w:val="left"/>
        <w:rPr>
          <w:rFonts w:ascii="宋体"/>
          <w:b/>
          <w:color w:val="auto"/>
          <w:sz w:val="44"/>
          <w:szCs w:val="44"/>
          <w:highlight w:val="none"/>
        </w:rPr>
      </w:pP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1.财政拨款收入：指单位从同级财政部门取得的财政预算资金。</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2.事业收入：指事业单位开展专业业务活动及辅助活动取得的收入。</w:t>
      </w:r>
      <w:r>
        <w:rPr>
          <w:rFonts w:hint="eastAsia" w:ascii="仿宋_GB2312" w:hAnsi="仿宋_GB2312" w:eastAsia="仿宋_GB2312" w:cs="仿宋_GB2312"/>
          <w:color w:val="auto"/>
          <w:sz w:val="32"/>
          <w:szCs w:val="32"/>
          <w:highlight w:val="none"/>
          <w:lang w:eastAsia="zh-CN"/>
        </w:rPr>
        <w:t>如医疗收入</w:t>
      </w:r>
      <w:r>
        <w:rPr>
          <w:rFonts w:hint="eastAsia" w:ascii="仿宋_GB2312" w:hAnsi="仿宋_GB2312" w:eastAsia="仿宋_GB2312" w:cs="仿宋_GB2312"/>
          <w:color w:val="auto"/>
          <w:sz w:val="32"/>
          <w:szCs w:val="32"/>
          <w:highlight w:val="none"/>
        </w:rPr>
        <w:t>等。</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3.经营收入：指事业单位在专业业务活动及其辅助活动之外开展非独立核算经营活动取得的收入。</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4.其他收入：指单位取得的除上述收入以外的各项收入。主要是</w:t>
      </w:r>
      <w:r>
        <w:rPr>
          <w:rFonts w:hint="eastAsia" w:ascii="仿宋_GB2312" w:hAnsi="仿宋_GB2312" w:eastAsia="仿宋_GB2312" w:cs="仿宋_GB2312"/>
          <w:color w:val="auto"/>
          <w:sz w:val="32"/>
          <w:szCs w:val="32"/>
          <w:highlight w:val="none"/>
          <w:lang w:eastAsia="zh-CN"/>
        </w:rPr>
        <w:t>非同级财政拨款收入、捐赠收入、利息收入</w:t>
      </w:r>
      <w:r>
        <w:rPr>
          <w:rFonts w:hint="eastAsia" w:ascii="仿宋_GB2312" w:hAnsi="仿宋_GB2312" w:eastAsia="仿宋_GB2312" w:cs="仿宋_GB2312"/>
          <w:color w:val="auto"/>
          <w:sz w:val="32"/>
          <w:szCs w:val="32"/>
          <w:highlight w:val="none"/>
        </w:rPr>
        <w:t xml:space="preserve">等。 </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u w:val="none"/>
          <w:lang w:eastAsia="zh-CN"/>
        </w:rPr>
        <w:t>使用非财政拨款结余（含专用结余）</w:t>
      </w:r>
      <w:r>
        <w:rPr>
          <w:rFonts w:hint="eastAsia" w:ascii="仿宋_GB2312" w:hAnsi="仿宋_GB2312" w:eastAsia="仿宋_GB2312" w:cs="仿宋_GB2312"/>
          <w:color w:val="auto"/>
          <w:sz w:val="32"/>
          <w:szCs w:val="32"/>
          <w:highlight w:val="none"/>
        </w:rPr>
        <w:t>：指事业单位</w:t>
      </w:r>
      <w:r>
        <w:rPr>
          <w:rFonts w:hint="eastAsia" w:ascii="仿宋_GB2312" w:hAnsi="仿宋_GB2312" w:eastAsia="仿宋_GB2312" w:cs="仿宋_GB2312"/>
          <w:color w:val="auto"/>
          <w:sz w:val="32"/>
          <w:szCs w:val="32"/>
          <w:highlight w:val="none"/>
          <w:lang w:eastAsia="zh-CN"/>
        </w:rPr>
        <w:t>使用以前年度积累的非财政拨款结余弥补当年收支差额的金额。</w:t>
      </w:r>
      <w:r>
        <w:rPr>
          <w:rFonts w:hint="eastAsia" w:ascii="仿宋_GB2312" w:hAnsi="仿宋_GB2312" w:eastAsia="仿宋_GB2312" w:cs="仿宋_GB2312"/>
          <w:color w:val="auto"/>
          <w:sz w:val="32"/>
          <w:szCs w:val="32"/>
          <w:highlight w:val="none"/>
        </w:rPr>
        <w:t xml:space="preserve"> </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6.年初结转和结余：指以前年度尚未完成、结转到本年按有关规定继续使用的资金。 </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7.结余分配：指事业单位按照会计制度规定</w:t>
      </w:r>
      <w:r>
        <w:rPr>
          <w:rFonts w:hint="eastAsia" w:ascii="仿宋_GB2312" w:hAnsi="仿宋_GB2312" w:eastAsia="仿宋_GB2312" w:cs="仿宋_GB2312"/>
          <w:color w:val="auto"/>
          <w:sz w:val="32"/>
          <w:szCs w:val="32"/>
          <w:highlight w:val="none"/>
          <w:lang w:eastAsia="zh-CN"/>
        </w:rPr>
        <w:t>缴纳的所得税、提取的专用结余以及转入非财政拨款结余的金额</w:t>
      </w:r>
      <w:r>
        <w:rPr>
          <w:rFonts w:hint="eastAsia" w:ascii="仿宋_GB2312" w:hAnsi="仿宋_GB2312" w:eastAsia="仿宋_GB2312" w:cs="仿宋_GB2312"/>
          <w:color w:val="auto"/>
          <w:sz w:val="32"/>
          <w:szCs w:val="32"/>
          <w:highlight w:val="none"/>
        </w:rPr>
        <w:t>等。</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年末结转和结余：指单位按有关规定结转到下年或以后年度继续使用的资金。</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9.社会保障和就业（类）行政事业单位养老支出（款）事业单位离退休（项）2080502支出:指反映事业开支离退休经费。</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10.社会保障和就业（类）行政事业单位养老支出（款）机关事业单位基本养老保险缴费支出（项）2080505支出:指反映机关事业单位实施养老保险制度由单位缴纳的基本养老保险费支出。</w:t>
      </w:r>
    </w:p>
    <w:p>
      <w:pPr>
        <w:ind w:firstLine="640" w:firstLineChars="200"/>
        <w:rPr>
          <w:rFonts w:hint="eastAsia"/>
          <w:lang w:val="en-US" w:eastAsia="zh-CN"/>
        </w:rPr>
      </w:pPr>
      <w:r>
        <w:rPr>
          <w:rFonts w:hint="eastAsia" w:ascii="仿宋_GB2312" w:hAnsi="仿宋_GB2312" w:eastAsia="仿宋_GB2312" w:cs="仿宋_GB2312"/>
          <w:color w:val="auto"/>
          <w:kern w:val="0"/>
          <w:sz w:val="32"/>
          <w:szCs w:val="32"/>
          <w:highlight w:val="none"/>
          <w:lang w:val="en-US" w:eastAsia="zh-CN" w:bidi="ar-SA"/>
        </w:rPr>
        <w:t>11.社会保障和就业（类）行政事业单位养老支出（款）机关事业单位职业年金缴费支出（项）2080506支出: 指反映机关事业单位实施养老保险制度由单位缴纳的职业年金支出。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12.社会保障和就业（类）退役安置（款）其他退役安置支出（项）2080999支出: 反映其他用于退役安置方面的支出。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13.卫生健康（类）公立医院（款）中医（民族）医院（项）2100202支出:反映卫生健康、中医部门所属的中医院、中西医结合医院、民族医院的支出。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14.卫生健康（类）公共卫生（款）基本公共卫生服务（项）2100408支出:反映基本公共卫生服务支出。</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highlight w:val="none"/>
          <w:lang w:val="en-US" w:eastAsia="zh-CN" w:bidi="ar-SA"/>
        </w:rPr>
        <w:t>15.卫生健康（类）公共卫生（款）重大公共卫生服务（项）2100409支出:反映重大疾病、重大传染病预防控制等重大公共卫生服务项目支出。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16.卫生健康（类）公共卫生（款）其他公共卫生支出（项）2100499支出:反映其他用于公共卫生方面的支出。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17.卫生健康（类）行政事业单位医疗（款）事业单位医疗（项）2101102支出:反映财政部门安排的事业单位基本医疗保险缴费经费，未参加医疗保险的事业单位的公费医疗经费，按国家规定享受离休人员待遇的医疗经费。</w:t>
      </w:r>
    </w:p>
    <w:p>
      <w:pPr>
        <w:ind w:firstLine="640" w:firstLineChars="200"/>
        <w:rPr>
          <w:rFonts w:hint="eastAsia"/>
          <w:color w:val="auto"/>
          <w:lang w:val="en-US" w:eastAsia="zh-CN"/>
        </w:rPr>
      </w:pPr>
      <w:r>
        <w:rPr>
          <w:rFonts w:hint="eastAsia" w:ascii="仿宋_GB2312" w:hAnsi="仿宋_GB2312" w:eastAsia="仿宋_GB2312" w:cs="仿宋_GB2312"/>
          <w:color w:val="auto"/>
          <w:kern w:val="0"/>
          <w:sz w:val="32"/>
          <w:szCs w:val="32"/>
          <w:highlight w:val="none"/>
          <w:lang w:val="en-US" w:eastAsia="zh-CN" w:bidi="ar-SA"/>
        </w:rPr>
        <w:t>18.卫生健康（类）中医药（款）中医（民族医）药专项（项）2101704支出:反映中医（民族医）药方面的专项支出。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19.卫生健康（类）其他卫生健康支出（款）其他卫生健康支出（项）2109999支出:反映其他用于卫生健康方面的支出。</w:t>
      </w:r>
    </w:p>
    <w:p>
      <w:pP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20.住房保障（类）住房改革支出（款）住房公积金（项）2210201支出：反映行政事业单位按人力资源和社会保障部、财政部规定的基本工资和津贴补贴以及规定比例为职工缴纳的住房公积金。</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SA"/>
        </w:rPr>
        <w:t>21.基本支出：指为保障机构正常运转、完成日常工作</w:t>
      </w:r>
      <w:r>
        <w:rPr>
          <w:rFonts w:hint="eastAsia" w:ascii="仿宋_GB2312" w:hAnsi="仿宋_GB2312" w:eastAsia="仿宋_GB2312" w:cs="仿宋_GB2312"/>
          <w:color w:val="auto"/>
          <w:sz w:val="32"/>
          <w:szCs w:val="32"/>
          <w:highlight w:val="none"/>
        </w:rPr>
        <w:t>任务而发生的人员支出和公用支出。</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 xml:space="preserve">.项目支出：指在基本支出之外为完成特定行政任务和事业发展目标所发生的支出。 </w:t>
      </w:r>
    </w:p>
    <w:p>
      <w:pPr>
        <w:pStyle w:val="19"/>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.“三公”经费：指</w:t>
      </w:r>
      <w:r>
        <w:rPr>
          <w:rFonts w:hint="eastAsia" w:ascii="仿宋_GB2312" w:hAnsi="仿宋_GB2312" w:eastAsia="仿宋_GB2312" w:cs="仿宋_GB2312"/>
          <w:color w:val="auto"/>
          <w:sz w:val="32"/>
          <w:szCs w:val="32"/>
          <w:highlight w:val="none"/>
          <w:lang w:eastAsia="zh-CN"/>
        </w:rPr>
        <w:t>单位</w:t>
      </w:r>
      <w:r>
        <w:rPr>
          <w:rFonts w:hint="eastAsia" w:ascii="仿宋_GB2312" w:hAnsi="仿宋_GB2312" w:eastAsia="仿宋_GB2312" w:cs="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outlineLvl w:val="0"/>
        <w:rPr>
          <w:rStyle w:val="16"/>
          <w:rFonts w:ascii="黑体" w:hAnsi="黑体" w:eastAsia="黑体"/>
          <w:b w:val="0"/>
          <w:color w:val="auto"/>
          <w:highlight w:val="none"/>
        </w:rPr>
      </w:pPr>
      <w:bookmarkStart w:id="65" w:name="_Toc15377226"/>
      <w:r>
        <w:rPr>
          <w:rFonts w:ascii="宋体"/>
          <w:b/>
          <w:color w:val="auto"/>
          <w:sz w:val="44"/>
          <w:szCs w:val="44"/>
          <w:highlight w:val="none"/>
        </w:rPr>
        <w:br w:type="page"/>
      </w:r>
      <w:bookmarkStart w:id="66" w:name="_Toc15396614"/>
      <w:bookmarkStart w:id="67" w:name="_Toc19060"/>
      <w:r>
        <w:rPr>
          <w:rFonts w:hint="eastAsia" w:ascii="黑体" w:hAnsi="黑体" w:eastAsia="黑体"/>
          <w:color w:val="auto"/>
          <w:sz w:val="44"/>
          <w:szCs w:val="44"/>
          <w:highlight w:val="none"/>
        </w:rPr>
        <w:t>第</w:t>
      </w:r>
      <w:r>
        <w:rPr>
          <w:rStyle w:val="16"/>
          <w:rFonts w:hint="eastAsia" w:ascii="黑体" w:hAnsi="黑体" w:eastAsia="黑体"/>
          <w:b w:val="0"/>
          <w:color w:val="auto"/>
          <w:highlight w:val="none"/>
        </w:rPr>
        <w:t>四部分 附件</w:t>
      </w:r>
      <w:bookmarkEnd w:id="66"/>
      <w:bookmarkEnd w:id="67"/>
    </w:p>
    <w:p>
      <w:pPr>
        <w:keepNext w:val="0"/>
        <w:keepLines w:val="0"/>
        <w:pageBreakBefore w:val="0"/>
        <w:kinsoku/>
        <w:wordWrap/>
        <w:overflowPunct/>
        <w:topLinePunct w:val="0"/>
        <w:autoSpaceDE/>
        <w:autoSpaceDN/>
        <w:bidi w:val="0"/>
        <w:spacing w:line="572" w:lineRule="exact"/>
        <w:jc w:val="left"/>
        <w:textAlignment w:val="auto"/>
        <w:outlineLvl w:val="9"/>
        <w:rPr>
          <w:rFonts w:ascii="仿宋_GB2312" w:hAnsi="仿宋_GB2312" w:eastAsia="仿宋_GB2312" w:cs="仿宋_GB2312"/>
          <w:color w:val="auto"/>
          <w:sz w:val="32"/>
          <w:szCs w:val="32"/>
          <w:highlight w:val="none"/>
        </w:rPr>
      </w:pPr>
    </w:p>
    <w:p>
      <w:pPr>
        <w:spacing w:line="600" w:lineRule="exact"/>
        <w:jc w:val="center"/>
        <w:outlineLvl w:val="1"/>
        <w:rPr>
          <w:rFonts w:hint="eastAsia" w:ascii="宋体" w:hAnsi="宋体" w:cs="宋体"/>
          <w:color w:val="auto"/>
          <w:kern w:val="0"/>
          <w:sz w:val="32"/>
          <w:szCs w:val="32"/>
          <w:highlight w:val="none"/>
          <w:lang w:val="en-US" w:eastAsia="zh-CN" w:bidi="ar-SA"/>
        </w:rPr>
      </w:pPr>
      <w:bookmarkStart w:id="68" w:name="_Toc32632"/>
      <w:bookmarkStart w:id="69" w:name="_Toc15396618"/>
      <w:r>
        <w:rPr>
          <w:rFonts w:hint="eastAsia" w:ascii="宋体" w:hAnsi="宋体" w:cs="宋体"/>
          <w:color w:val="auto"/>
          <w:kern w:val="0"/>
          <w:sz w:val="32"/>
          <w:szCs w:val="32"/>
          <w:highlight w:val="none"/>
          <w:lang w:val="en-US" w:eastAsia="zh-CN" w:bidi="ar-SA"/>
        </w:rPr>
        <w:t>宜宾市第三中医医院</w:t>
      </w:r>
      <w:bookmarkEnd w:id="68"/>
    </w:p>
    <w:p>
      <w:pPr>
        <w:spacing w:line="600" w:lineRule="exact"/>
        <w:jc w:val="center"/>
        <w:outlineLvl w:val="0"/>
        <w:rPr>
          <w:rFonts w:hint="eastAsia" w:ascii="宋体" w:hAnsi="宋体" w:eastAsia="宋体" w:cs="宋体"/>
          <w:color w:val="auto"/>
          <w:kern w:val="0"/>
          <w:sz w:val="32"/>
          <w:szCs w:val="32"/>
          <w:highlight w:val="none"/>
          <w:lang w:val="en-US" w:eastAsia="zh-CN" w:bidi="ar-SA"/>
        </w:rPr>
      </w:pPr>
      <w:bookmarkStart w:id="70" w:name="_Toc18744"/>
      <w:r>
        <w:rPr>
          <w:rFonts w:hint="eastAsia" w:ascii="宋体" w:hAnsi="宋体" w:eastAsia="宋体" w:cs="宋体"/>
          <w:color w:val="auto"/>
          <w:kern w:val="0"/>
          <w:sz w:val="32"/>
          <w:szCs w:val="32"/>
          <w:highlight w:val="none"/>
          <w:lang w:val="en-US" w:eastAsia="zh-CN" w:bidi="ar-SA"/>
        </w:rPr>
        <w:t>部门预算项目支出绩效自评表（202</w:t>
      </w:r>
      <w:r>
        <w:rPr>
          <w:rFonts w:hint="eastAsia" w:ascii="宋体" w:hAnsi="宋体" w:cs="宋体"/>
          <w:color w:val="auto"/>
          <w:kern w:val="0"/>
          <w:sz w:val="32"/>
          <w:szCs w:val="32"/>
          <w:highlight w:val="none"/>
          <w:lang w:val="en-US" w:eastAsia="zh-CN" w:bidi="ar-SA"/>
        </w:rPr>
        <w:t>5</w:t>
      </w:r>
      <w:r>
        <w:rPr>
          <w:rFonts w:hint="eastAsia" w:ascii="宋体" w:hAnsi="宋体" w:eastAsia="宋体" w:cs="宋体"/>
          <w:color w:val="auto"/>
          <w:kern w:val="0"/>
          <w:sz w:val="32"/>
          <w:szCs w:val="32"/>
          <w:highlight w:val="none"/>
          <w:lang w:val="en-US" w:eastAsia="zh-CN" w:bidi="ar-SA"/>
        </w:rPr>
        <w:t>年度）</w:t>
      </w:r>
      <w:bookmarkEnd w:id="70"/>
    </w:p>
    <w:tbl>
      <w:tblPr>
        <w:tblStyle w:val="13"/>
        <w:tblW w:w="5000" w:type="pct"/>
        <w:tblInd w:w="0" w:type="dxa"/>
        <w:shd w:val="clear" w:color="auto" w:fill="auto"/>
        <w:tblLayout w:type="autofit"/>
        <w:tblCellMar>
          <w:top w:w="0" w:type="dxa"/>
          <w:left w:w="0" w:type="dxa"/>
          <w:bottom w:w="0" w:type="dxa"/>
          <w:right w:w="0" w:type="dxa"/>
        </w:tblCellMar>
      </w:tblPr>
      <w:tblGrid>
        <w:gridCol w:w="396"/>
        <w:gridCol w:w="1208"/>
        <w:gridCol w:w="1043"/>
        <w:gridCol w:w="1331"/>
        <w:gridCol w:w="302"/>
        <w:gridCol w:w="984"/>
        <w:gridCol w:w="304"/>
        <w:gridCol w:w="660"/>
        <w:gridCol w:w="300"/>
        <w:gridCol w:w="300"/>
        <w:gridCol w:w="1508"/>
      </w:tblGrid>
      <w:tr>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51150421R000000030883-基本工资（医院）</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按月及时足额发放</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260.58</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306.22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306.22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260.58</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306.22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306.22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严格执行相关政策，保障工资及时发放、足额发放，预算编制科学合理</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项目负责人：阳娜</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财务负责人：李月</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51150421R000000205183-六医院、三医院养老保险、职业年金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按时及时足额缴纳养老保险、职业年金</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62.54</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62.54</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严格执行相关政策，保障其他工资福利支出及时足额发放缴纳，预算编制科学合理，减少结余资金</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项目负责人：阳娜</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财务负责人：李月</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51150422T000000318691-县级公立医院取消药品加成县级配套（第三中医医院）</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提高医疗质量，控制药品使用，减少药品在收入占比。</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严格资金支付审批，及时完成资金支付</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药品收入占医疗收入（不含中药饮片）的比重</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67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到年底项目资金全部完成支付，无结转结余</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医疗收入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逐年提高</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公立医院职工、门诊患者、住院患者满意度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资金支付不及时，存在资金结转结余</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项目负责人：阳娜</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财务负责人：李月</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51150422Y000000305894-医疗公用经费</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提高预算编制质量，严格执行预算，保障单位日常运转。</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量入为出，严格控制公用经费支出</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124.80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124.80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78.82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63.16%</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124.80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124.80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78.82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63.16%</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67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预算编制准确率（计算方法为：∣（执行数-预算数）/预算数∣）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预算不准确</w:t>
            </w:r>
          </w:p>
        </w:tc>
      </w:tr>
      <w:tr>
        <w:tblPrEx>
          <w:tblCellMar>
            <w:top w:w="0" w:type="dxa"/>
            <w:left w:w="0" w:type="dxa"/>
            <w:bottom w:w="0" w:type="dxa"/>
            <w:right w:w="0"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“三公经费”控制率[计算方法为：（三公经费实际支出数/预算安排数]×100%）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合理使用公用经费，保障单位日常运转。</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预算不准确</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细化支出，加强预算准确率</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项目负责人：阳娜</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财务负责人：李月</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51150423T000008046580-医院其他运营支出</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保障医院正常经营</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量入为出，严格控制其他运营支出</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5,499.89</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5,499.89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1,634.43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29.72%</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5,499.89</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5,499.89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1,634.43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29.72%</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保障医院日常经营需求</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基本满足</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业务收入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89</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患者满意度有待提升</w:t>
            </w: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运营支出提高，保障了医院正常经营，提高了医院服务质量</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患者满意度有待提升</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合理安排运营支出，提高患者满意度</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51150425R000012841226-单位资金人员经费</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按时足额发放人员经费</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2,011.21</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2,011.21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1,781.24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88.57%</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2,011.21</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2,011.21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1,781.24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88.57%</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人员经费保障良好，按时足额进行发放</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51150425T000012850884-重点专科建设（康复科）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充分发挥中医药特色与优势，建成诊疗水平较高、临床疗效显著、创新能力较强、具有示范带动作用的特色专科。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立足充分发挥中医药特色与优势，加强重点专科建设</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82.60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2.47%</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82.60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2.47%</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全年外出培训学习人次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通过重点专科复查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完成复查</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业务收入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门诊、住院人次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重点专科的打造，提升了医疗服务质量，为患者带来更优质的康复治疗。</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合理安排人员培训，增加培训人次</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51150425T000012850887-重点专科建设（老年病科）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充分发挥中医药特色与优势，建成诊疗水平较高、临床疗效显著、创新能力较强、具有示范带动作用的特色专科。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立足充分发挥中医药特色与优势，加强重点专科建设</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95.50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0.62%</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95.50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0.62%</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全年外出培训学习人次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通过重点专科复查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完成复查</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门诊住院人次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业务收入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94</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提升了老年病科医疗服务治疗，为老年病人的病人带去更优质的服务。</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合理安排人员培训，增加培训人次</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51150425T000012850890-重点专科建设（针灸科）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充分发挥中医药特色与优势，建成诊疗水平较高、临床疗效显著、创新能力较强、具有示范带动作用的特色专科。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立足充分发挥中医药特色与优势，加强重点专科建设</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44.50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44.50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全年外出培训学习人次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完成重点专科验收</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门诊住院人次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业务收入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92</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提升了针灸科医疗服务治疗，为针灸科的病人带去更优质的服务。</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合理安排人员培训，增加培训人次</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51150425T000012850896-中医特色科室（皮肤科、肛肠科）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充分发挥中医药特色与优势，建成诊疗水平较高、临床疗效显著、创新能力较强、具有示范带动作用的特色专科。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加强对皮肤科、肛肠科的特色打造，突出特色优势</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全年外出学习人次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门诊住院人次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业务收入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逐年上升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患者满意度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93</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加强对皮肤科、肛肠科的特色打造，突出特色优势</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培训安排不合理，人数不达标</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合理安排人员培训，增加培训人次</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51150422R000005768681-离退休人员生活补助（事业）</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严格执行相关政策，保障工资及时、足额发放或社保及时、足额缴纳，预算编制科学合理，减少结余资金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响应政策要求，及时足额发放离退休人员生活补助</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15.43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15.43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已按时足额发放离退休人员生活补助</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51150422T000005764384-退役军人公益性岗位和社保缴费补贴</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及时发放退役军人岗位补贴缴纳社会保险</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及时足额发放役军人公益性岗位和社保缴费补贴</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5.21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5.21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基本保障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及时完成退役军人岗位补贴发放及社会保险缴纳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每月已及时足额发放役军人公益性岗位和社保缴费补贴</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51150422T000006395608-基本公共卫生服务</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及时足额发放基本公共卫生服务经费</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已及时足额发放基本公共卫生服务经费</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51150422T000006395893-重大公共卫生服务</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最大限度发现感染者，有效控制传播</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发现感染者及时上报，并做好防控措施</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资金使用合规性</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合规</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支付进度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已完成感染者上报，无漏报</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51150422T000006395895-卫生健康能力提升</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提升医院服务能力，提高服务对象满意度，保障医院可持续性发展。</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提升医院服务能力，提高服务对象满意度，保障医院可持续性发展。</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264.24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221.43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83.80%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264.24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221.43</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83.80%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资金使用合规性</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合规</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28</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资金未审核</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提高了医疗服务能力，保障了医院可持续性发展。</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资金未审核</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加强沟通，促进资金审核进度</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51150423T000008958373-退役士兵维稳经费</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保障退役军人权益，体现党和国家对退役军人群体的关心关爱，维护社会稳定</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项目资金主要用于我院两名退役军人每月岗位补贴及社会保险费用保险</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基本保障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及时发放率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通过项目实施，保障了退役士兵权益，提高了退役士兵生活水平，体现了党和政府对退役士兵群体的关心关爱。</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51150423T000009523295-引进人才安家补助资金</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引进医德高尚技术精湛的高层次医疗人才，培养业务骨干，提高医院整体医疗服务能力，更好的服务群众</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财政下达指标后根据当年宜宾市叙州区硕士研究生安家补助审批表审批金额支付到具体补助对象 。</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及时发放率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基本保障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项目整体按目标顺利完成，各项绩效指标基本按预期目标实现。</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51150423T000009861573-公共卫生特别服务岗人员经费</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提升应对突发重大公共卫生事件的能力。</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参照三支一扶标准及时发放公卫特别岗人员工资、保险、一次性安家补助等。</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工资及时发放、保险足额缴纳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足额保障率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基本保障</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项目整体按目标顺利完成，各项绩效指标基本按预期目标实现。</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CellMar>
            <w:top w:w="0" w:type="dxa"/>
            <w:left w:w="0" w:type="dxa"/>
            <w:bottom w:w="0" w:type="dxa"/>
            <w:right w:w="0" w:type="dxa"/>
          </w:tblCellMar>
        </w:tblPrEx>
        <w:trPr>
          <w:trHeight w:val="286" w:hRule="atLeast"/>
        </w:trPr>
        <w:tc>
          <w:tcPr>
            <w:tcW w:w="24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80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51150423T000009898129-从业人员预防性体检补助</w:t>
            </w:r>
          </w:p>
        </w:tc>
      </w:tr>
      <w:tr>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宜宾市叙州区卫生健康局部门</w:t>
            </w:r>
          </w:p>
        </w:tc>
        <w:tc>
          <w:tcPr>
            <w:tcW w:w="38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宜宾市第三中医医院</w:t>
            </w:r>
          </w:p>
        </w:tc>
      </w:tr>
      <w:tr>
        <w:tblPrEx>
          <w:tblCellMar>
            <w:top w:w="0" w:type="dxa"/>
            <w:left w:w="0" w:type="dxa"/>
            <w:bottom w:w="0" w:type="dxa"/>
            <w:right w:w="0"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保障公众健康和公共卫生安全，加强食品及公共场所等行业从业人员预防性体检管理，有效防止痢疾、伤寒和副伤寒、病毒性肝炎（甲型、戊型）、活动性肺结核等传染病传播。</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部分完成</w:t>
            </w:r>
          </w:p>
        </w:tc>
      </w:tr>
      <w:tr>
        <w:tblPrEx>
          <w:tblCellMar>
            <w:top w:w="0" w:type="dxa"/>
            <w:left w:w="0" w:type="dxa"/>
            <w:bottom w:w="0" w:type="dxa"/>
            <w:right w:w="0"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及时足额发放</w:t>
            </w:r>
          </w:p>
        </w:tc>
      </w:tr>
      <w:tr>
        <w:tblPrEx>
          <w:tblCellMar>
            <w:top w:w="0" w:type="dxa"/>
            <w:left w:w="0" w:type="dxa"/>
            <w:bottom w:w="0" w:type="dxa"/>
            <w:right w:w="0"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4.14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13.78%</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4.14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13.78%</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资金使用合规性</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合规</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67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执行率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项目资金到年底全部完成支付，无结转结余</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资金未审核</w:t>
            </w:r>
          </w:p>
        </w:tc>
      </w:tr>
      <w:tr>
        <w:tblPrEx>
          <w:tblCellMar>
            <w:top w:w="0" w:type="dxa"/>
            <w:left w:w="0" w:type="dxa"/>
            <w:bottom w:w="0" w:type="dxa"/>
            <w:right w:w="0"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89</w:t>
            </w:r>
          </w:p>
        </w:tc>
        <w:tc>
          <w:tcPr>
            <w:tcW w:w="9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根据相关政策，及时足额发放</w:t>
            </w:r>
          </w:p>
        </w:tc>
      </w:tr>
      <w:tr>
        <w:tblPrEx>
          <w:tblCellMar>
            <w:top w:w="0" w:type="dxa"/>
            <w:left w:w="0" w:type="dxa"/>
            <w:bottom w:w="0" w:type="dxa"/>
            <w:right w:w="0"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资金未审核</w:t>
            </w:r>
          </w:p>
        </w:tc>
      </w:tr>
      <w:tr>
        <w:tblPrEx>
          <w:tblCellMar>
            <w:top w:w="0" w:type="dxa"/>
            <w:left w:w="0" w:type="dxa"/>
            <w:bottom w:w="0" w:type="dxa"/>
            <w:right w:w="0"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加强沟通，促进资金审核进度</w:t>
            </w:r>
          </w:p>
        </w:tc>
      </w:tr>
      <w:tr>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bl>
    <w:p>
      <w:pPr>
        <w:pStyle w:val="8"/>
        <w:rPr>
          <w:rFonts w:hint="eastAsia" w:ascii="仿宋_GB2312" w:hAnsi="Calibri" w:eastAsia="仿宋_GB2312" w:cs="仿宋"/>
          <w:color w:val="auto"/>
          <w:kern w:val="0"/>
          <w:sz w:val="32"/>
          <w:szCs w:val="32"/>
          <w:highlight w:val="none"/>
          <w:lang w:val="en-US" w:eastAsia="zh-CN" w:bidi="ar-SA"/>
        </w:rPr>
      </w:pPr>
    </w:p>
    <w:p>
      <w:pPr>
        <w:spacing w:line="600" w:lineRule="exact"/>
        <w:jc w:val="both"/>
        <w:outlineLvl w:val="0"/>
        <w:rPr>
          <w:rFonts w:hint="eastAsia" w:ascii="黑体" w:hAnsi="黑体" w:eastAsia="黑体"/>
          <w:color w:val="auto"/>
          <w:sz w:val="44"/>
          <w:szCs w:val="44"/>
          <w:highlight w:val="none"/>
        </w:rPr>
      </w:pPr>
      <w:bookmarkStart w:id="71" w:name="_Toc18304"/>
    </w:p>
    <w:p>
      <w:pPr>
        <w:spacing w:line="600" w:lineRule="exact"/>
        <w:jc w:val="center"/>
        <w:outlineLvl w:val="0"/>
        <w:rPr>
          <w:rFonts w:hint="eastAsia" w:ascii="黑体" w:hAnsi="黑体" w:eastAsia="黑体"/>
          <w:color w:val="auto"/>
          <w:sz w:val="44"/>
          <w:szCs w:val="44"/>
          <w:highlight w:val="none"/>
        </w:rPr>
      </w:pPr>
    </w:p>
    <w:p>
      <w:pPr>
        <w:pStyle w:val="2"/>
        <w:rPr>
          <w:rFonts w:hint="eastAsia" w:ascii="黑体" w:hAnsi="黑体" w:eastAsia="黑体"/>
          <w:color w:val="auto"/>
          <w:sz w:val="44"/>
          <w:szCs w:val="44"/>
          <w:highlight w:val="none"/>
        </w:rPr>
      </w:pPr>
    </w:p>
    <w:p>
      <w:pPr>
        <w:pStyle w:val="3"/>
        <w:rPr>
          <w:rFonts w:hint="eastAsia" w:ascii="黑体" w:hAnsi="黑体" w:eastAsia="黑体"/>
          <w:color w:val="auto"/>
          <w:sz w:val="44"/>
          <w:szCs w:val="44"/>
          <w:highlight w:val="none"/>
        </w:rPr>
      </w:pPr>
    </w:p>
    <w:p>
      <w:pPr>
        <w:pStyle w:val="3"/>
        <w:rPr>
          <w:rFonts w:hint="eastAsia" w:ascii="黑体" w:hAnsi="黑体" w:eastAsia="黑体"/>
          <w:color w:val="auto"/>
          <w:sz w:val="44"/>
          <w:szCs w:val="44"/>
          <w:highlight w:val="none"/>
        </w:rPr>
      </w:pPr>
    </w:p>
    <w:p>
      <w:pPr>
        <w:spacing w:line="600" w:lineRule="exact"/>
        <w:jc w:val="center"/>
        <w:outlineLvl w:val="0"/>
        <w:rPr>
          <w:rFonts w:hint="eastAsia" w:ascii="黑体" w:hAnsi="黑体" w:eastAsia="黑体"/>
          <w:color w:val="auto"/>
          <w:sz w:val="44"/>
          <w:szCs w:val="44"/>
          <w:highlight w:val="none"/>
        </w:rPr>
      </w:pPr>
    </w:p>
    <w:p>
      <w:pPr>
        <w:spacing w:line="600" w:lineRule="exact"/>
        <w:jc w:val="center"/>
        <w:outlineLvl w:val="0"/>
        <w:rPr>
          <w:rFonts w:hint="eastAsia" w:ascii="黑体" w:hAnsi="黑体" w:eastAsia="黑体"/>
          <w:color w:val="auto"/>
          <w:sz w:val="44"/>
          <w:szCs w:val="44"/>
          <w:highlight w:val="none"/>
        </w:rPr>
      </w:pPr>
    </w:p>
    <w:p>
      <w:pPr>
        <w:spacing w:line="600" w:lineRule="exact"/>
        <w:jc w:val="center"/>
        <w:outlineLvl w:val="0"/>
        <w:rPr>
          <w:rFonts w:hint="eastAsia" w:ascii="黑体" w:hAnsi="黑体" w:eastAsia="黑体"/>
          <w:color w:val="auto"/>
          <w:sz w:val="44"/>
          <w:szCs w:val="44"/>
          <w:highlight w:val="none"/>
        </w:rPr>
      </w:pPr>
    </w:p>
    <w:p>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16"/>
          <w:rFonts w:hint="eastAsia" w:ascii="黑体" w:hAnsi="黑体" w:eastAsia="黑体"/>
          <w:b w:val="0"/>
          <w:color w:val="auto"/>
          <w:highlight w:val="none"/>
        </w:rPr>
        <w:t>五部分 附表</w:t>
      </w:r>
      <w:bookmarkEnd w:id="65"/>
      <w:bookmarkEnd w:id="69"/>
      <w:bookmarkEnd w:id="71"/>
      <w:bookmarkStart w:id="72" w:name="_Toc15396619"/>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73" w:name="_Toc14397"/>
      <w:r>
        <w:rPr>
          <w:rFonts w:hint="eastAsia" w:ascii="仿宋_GB2312" w:hAnsi="仿宋_GB2312" w:eastAsia="仿宋_GB2312" w:cs="仿宋_GB2312"/>
          <w:b w:val="0"/>
          <w:color w:val="auto"/>
          <w:highlight w:val="none"/>
        </w:rPr>
        <w:t>一、收</w:t>
      </w:r>
      <w:r>
        <w:rPr>
          <w:rStyle w:val="17"/>
          <w:rFonts w:hint="eastAsia" w:ascii="仿宋_GB2312" w:hAnsi="仿宋_GB2312" w:eastAsia="仿宋_GB2312" w:cs="仿宋_GB2312"/>
          <w:b w:val="0"/>
          <w:bCs w:val="0"/>
          <w:color w:val="auto"/>
          <w:highlight w:val="none"/>
        </w:rPr>
        <w:t>入支出决算总表</w:t>
      </w:r>
      <w:bookmarkEnd w:id="72"/>
      <w:bookmarkEnd w:id="73"/>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rPr>
      </w:pPr>
      <w:bookmarkStart w:id="74" w:name="_Toc26814"/>
      <w:bookmarkStart w:id="75" w:name="_Toc15396620"/>
      <w:r>
        <w:rPr>
          <w:rFonts w:hint="eastAsia" w:ascii="仿宋_GB2312" w:hAnsi="仿宋_GB2312" w:eastAsia="仿宋_GB2312" w:cs="仿宋_GB2312"/>
          <w:b w:val="0"/>
          <w:color w:val="auto"/>
          <w:highlight w:val="none"/>
        </w:rPr>
        <w:t>二、收</w:t>
      </w:r>
      <w:r>
        <w:rPr>
          <w:rStyle w:val="17"/>
          <w:rFonts w:hint="eastAsia" w:ascii="仿宋_GB2312" w:hAnsi="仿宋_GB2312" w:eastAsia="仿宋_GB2312" w:cs="仿宋_GB2312"/>
          <w:b w:val="0"/>
          <w:bCs w:val="0"/>
          <w:color w:val="auto"/>
          <w:highlight w:val="none"/>
        </w:rPr>
        <w:t>入决算表</w:t>
      </w:r>
      <w:bookmarkEnd w:id="74"/>
      <w:bookmarkEnd w:id="75"/>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76" w:name="_Toc15396621"/>
      <w:bookmarkStart w:id="77" w:name="_Toc16066"/>
      <w:r>
        <w:rPr>
          <w:rStyle w:val="17"/>
          <w:rFonts w:hint="eastAsia" w:ascii="仿宋_GB2312" w:hAnsi="仿宋_GB2312" w:eastAsia="仿宋_GB2312" w:cs="仿宋_GB2312"/>
          <w:b w:val="0"/>
          <w:bCs w:val="0"/>
          <w:color w:val="auto"/>
          <w:highlight w:val="none"/>
        </w:rPr>
        <w:t>三、</w:t>
      </w:r>
      <w:r>
        <w:rPr>
          <w:rFonts w:hint="eastAsia" w:ascii="仿宋_GB2312" w:hAnsi="仿宋_GB2312" w:eastAsia="仿宋_GB2312" w:cs="仿宋_GB2312"/>
          <w:b w:val="0"/>
          <w:color w:val="auto"/>
          <w:highlight w:val="none"/>
        </w:rPr>
        <w:t>支</w:t>
      </w:r>
      <w:r>
        <w:rPr>
          <w:rStyle w:val="17"/>
          <w:rFonts w:hint="eastAsia" w:ascii="仿宋_GB2312" w:hAnsi="仿宋_GB2312" w:eastAsia="仿宋_GB2312" w:cs="仿宋_GB2312"/>
          <w:b w:val="0"/>
          <w:bCs w:val="0"/>
          <w:color w:val="auto"/>
          <w:highlight w:val="none"/>
        </w:rPr>
        <w:t>出决算表</w:t>
      </w:r>
      <w:bookmarkEnd w:id="76"/>
      <w:bookmarkEnd w:id="77"/>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b w:val="0"/>
          <w:color w:val="auto"/>
          <w:highlight w:val="none"/>
        </w:rPr>
      </w:pPr>
      <w:bookmarkStart w:id="78" w:name="_Toc15396622"/>
      <w:bookmarkStart w:id="79" w:name="_Toc30478"/>
      <w:r>
        <w:rPr>
          <w:rStyle w:val="17"/>
          <w:rFonts w:hint="eastAsia" w:ascii="仿宋_GB2312" w:hAnsi="仿宋_GB2312" w:eastAsia="仿宋_GB2312" w:cs="仿宋_GB2312"/>
          <w:b w:val="0"/>
          <w:bCs w:val="0"/>
          <w:color w:val="auto"/>
          <w:highlight w:val="none"/>
        </w:rPr>
        <w:t>四、</w:t>
      </w:r>
      <w:r>
        <w:rPr>
          <w:rFonts w:hint="eastAsia" w:ascii="仿宋_GB2312" w:hAnsi="仿宋_GB2312" w:eastAsia="仿宋_GB2312" w:cs="仿宋_GB2312"/>
          <w:b w:val="0"/>
          <w:color w:val="auto"/>
          <w:highlight w:val="none"/>
        </w:rPr>
        <w:t>财</w:t>
      </w:r>
      <w:r>
        <w:rPr>
          <w:rStyle w:val="17"/>
          <w:rFonts w:hint="eastAsia" w:ascii="仿宋_GB2312" w:hAnsi="仿宋_GB2312" w:eastAsia="仿宋_GB2312" w:cs="仿宋_GB2312"/>
          <w:b w:val="0"/>
          <w:bCs w:val="0"/>
          <w:color w:val="auto"/>
          <w:highlight w:val="none"/>
        </w:rPr>
        <w:t>政拨款收入支出决算总表</w:t>
      </w:r>
      <w:bookmarkEnd w:id="78"/>
      <w:bookmarkEnd w:id="79"/>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Style w:val="17"/>
          <w:rFonts w:hint="eastAsia" w:ascii="仿宋_GB2312" w:hAnsi="仿宋_GB2312" w:eastAsia="仿宋_GB2312" w:cs="仿宋_GB2312"/>
          <w:b w:val="0"/>
          <w:bCs w:val="0"/>
          <w:color w:val="auto"/>
          <w:highlight w:val="none"/>
        </w:rPr>
      </w:pPr>
      <w:bookmarkStart w:id="80" w:name="_Toc3152"/>
      <w:bookmarkStart w:id="81" w:name="_Toc15396623"/>
      <w:r>
        <w:rPr>
          <w:rStyle w:val="17"/>
          <w:rFonts w:hint="eastAsia" w:ascii="仿宋_GB2312" w:hAnsi="仿宋_GB2312" w:eastAsia="仿宋_GB2312" w:cs="仿宋_GB2312"/>
          <w:b w:val="0"/>
          <w:bCs w:val="0"/>
          <w:color w:val="auto"/>
          <w:highlight w:val="none"/>
        </w:rPr>
        <w:t>五、</w:t>
      </w:r>
      <w:r>
        <w:rPr>
          <w:rFonts w:hint="eastAsia" w:ascii="仿宋_GB2312" w:hAnsi="仿宋_GB2312" w:eastAsia="仿宋_GB2312" w:cs="仿宋_GB2312"/>
          <w:b w:val="0"/>
          <w:color w:val="auto"/>
          <w:highlight w:val="none"/>
        </w:rPr>
        <w:t>财</w:t>
      </w:r>
      <w:r>
        <w:rPr>
          <w:rStyle w:val="17"/>
          <w:rFonts w:hint="eastAsia" w:ascii="仿宋_GB2312" w:hAnsi="仿宋_GB2312" w:eastAsia="仿宋_GB2312" w:cs="仿宋_GB2312"/>
          <w:b w:val="0"/>
          <w:bCs w:val="0"/>
          <w:color w:val="auto"/>
          <w:highlight w:val="none"/>
        </w:rPr>
        <w:t>政拨款支出决算明细表</w:t>
      </w:r>
      <w:bookmarkEnd w:id="80"/>
      <w:bookmarkEnd w:id="81"/>
      <w:bookmarkStart w:id="82" w:name="_Toc15396624"/>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83" w:name="_Toc2703"/>
      <w:r>
        <w:rPr>
          <w:rStyle w:val="17"/>
          <w:rFonts w:hint="eastAsia" w:ascii="仿宋_GB2312" w:hAnsi="仿宋_GB2312" w:eastAsia="仿宋_GB2312" w:cs="仿宋_GB2312"/>
          <w:b w:val="0"/>
          <w:bCs w:val="0"/>
          <w:color w:val="auto"/>
          <w:highlight w:val="none"/>
        </w:rPr>
        <w:t>六、</w:t>
      </w:r>
      <w:r>
        <w:rPr>
          <w:rFonts w:hint="eastAsia" w:ascii="仿宋_GB2312" w:hAnsi="仿宋_GB2312" w:eastAsia="仿宋_GB2312" w:cs="仿宋_GB2312"/>
          <w:b w:val="0"/>
          <w:color w:val="auto"/>
          <w:highlight w:val="none"/>
        </w:rPr>
        <w:t>一</w:t>
      </w:r>
      <w:r>
        <w:rPr>
          <w:rStyle w:val="17"/>
          <w:rFonts w:hint="eastAsia" w:ascii="仿宋_GB2312" w:hAnsi="仿宋_GB2312" w:eastAsia="仿宋_GB2312" w:cs="仿宋_GB2312"/>
          <w:b w:val="0"/>
          <w:bCs w:val="0"/>
          <w:color w:val="auto"/>
          <w:highlight w:val="none"/>
        </w:rPr>
        <w:t>般公共预算财政拨款支出决算表</w:t>
      </w:r>
      <w:bookmarkEnd w:id="82"/>
      <w:bookmarkEnd w:id="83"/>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84" w:name="_Toc11374"/>
      <w:bookmarkStart w:id="85" w:name="_Toc15396625"/>
      <w:r>
        <w:rPr>
          <w:rStyle w:val="17"/>
          <w:rFonts w:hint="eastAsia" w:ascii="仿宋_GB2312" w:hAnsi="仿宋_GB2312" w:eastAsia="仿宋_GB2312" w:cs="仿宋_GB2312"/>
          <w:b w:val="0"/>
          <w:bCs w:val="0"/>
          <w:color w:val="auto"/>
          <w:highlight w:val="none"/>
        </w:rPr>
        <w:t>七、</w:t>
      </w:r>
      <w:r>
        <w:rPr>
          <w:rFonts w:hint="eastAsia" w:ascii="仿宋_GB2312" w:hAnsi="仿宋_GB2312" w:eastAsia="仿宋_GB2312" w:cs="仿宋_GB2312"/>
          <w:b w:val="0"/>
          <w:color w:val="auto"/>
          <w:highlight w:val="none"/>
        </w:rPr>
        <w:t>一</w:t>
      </w:r>
      <w:r>
        <w:rPr>
          <w:rStyle w:val="17"/>
          <w:rFonts w:hint="eastAsia" w:ascii="仿宋_GB2312" w:hAnsi="仿宋_GB2312" w:eastAsia="仿宋_GB2312" w:cs="仿宋_GB2312"/>
          <w:b w:val="0"/>
          <w:bCs w:val="0"/>
          <w:color w:val="auto"/>
          <w:highlight w:val="none"/>
        </w:rPr>
        <w:t>般公共预算财政拨款支出决算明细表</w:t>
      </w:r>
      <w:bookmarkEnd w:id="84"/>
      <w:bookmarkEnd w:id="85"/>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86" w:name="_Toc15396626"/>
      <w:bookmarkStart w:id="87" w:name="_Toc11495"/>
      <w:r>
        <w:rPr>
          <w:rStyle w:val="17"/>
          <w:rFonts w:hint="eastAsia" w:ascii="仿宋_GB2312" w:hAnsi="仿宋_GB2312" w:eastAsia="仿宋_GB2312" w:cs="仿宋_GB2312"/>
          <w:b w:val="0"/>
          <w:bCs w:val="0"/>
          <w:color w:val="auto"/>
          <w:highlight w:val="none"/>
        </w:rPr>
        <w:t>八、</w:t>
      </w:r>
      <w:r>
        <w:rPr>
          <w:rFonts w:hint="eastAsia" w:ascii="仿宋_GB2312" w:hAnsi="仿宋_GB2312" w:eastAsia="仿宋_GB2312" w:cs="仿宋_GB2312"/>
          <w:b w:val="0"/>
          <w:color w:val="auto"/>
          <w:highlight w:val="none"/>
        </w:rPr>
        <w:t>一</w:t>
      </w:r>
      <w:r>
        <w:rPr>
          <w:rStyle w:val="17"/>
          <w:rFonts w:hint="eastAsia" w:ascii="仿宋_GB2312" w:hAnsi="仿宋_GB2312" w:eastAsia="仿宋_GB2312" w:cs="仿宋_GB2312"/>
          <w:b w:val="0"/>
          <w:bCs w:val="0"/>
          <w:color w:val="auto"/>
          <w:highlight w:val="none"/>
        </w:rPr>
        <w:t>般公共预算财政拨款基本支出决算表</w:t>
      </w:r>
      <w:bookmarkEnd w:id="86"/>
      <w:bookmarkEnd w:id="87"/>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88" w:name="_Toc15396627"/>
      <w:bookmarkStart w:id="89" w:name="_Toc1390"/>
      <w:r>
        <w:rPr>
          <w:rStyle w:val="17"/>
          <w:rFonts w:hint="eastAsia" w:ascii="仿宋_GB2312" w:hAnsi="仿宋_GB2312" w:eastAsia="仿宋_GB2312" w:cs="仿宋_GB2312"/>
          <w:b w:val="0"/>
          <w:bCs w:val="0"/>
          <w:color w:val="auto"/>
          <w:highlight w:val="none"/>
        </w:rPr>
        <w:t>九、</w:t>
      </w:r>
      <w:r>
        <w:rPr>
          <w:rFonts w:hint="eastAsia" w:ascii="仿宋_GB2312" w:hAnsi="仿宋_GB2312" w:eastAsia="仿宋_GB2312" w:cs="仿宋_GB2312"/>
          <w:b w:val="0"/>
          <w:color w:val="auto"/>
          <w:highlight w:val="none"/>
        </w:rPr>
        <w:t>一</w:t>
      </w:r>
      <w:r>
        <w:rPr>
          <w:rStyle w:val="17"/>
          <w:rFonts w:hint="eastAsia" w:ascii="仿宋_GB2312" w:hAnsi="仿宋_GB2312" w:eastAsia="仿宋_GB2312" w:cs="仿宋_GB2312"/>
          <w:b w:val="0"/>
          <w:bCs w:val="0"/>
          <w:color w:val="auto"/>
          <w:highlight w:val="none"/>
        </w:rPr>
        <w:t>般公共预算财政拨款项目支出决算表</w:t>
      </w:r>
      <w:bookmarkEnd w:id="88"/>
      <w:bookmarkEnd w:id="89"/>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90" w:name="_Toc15396628"/>
      <w:bookmarkStart w:id="91" w:name="_Toc2423"/>
      <w:r>
        <w:rPr>
          <w:rStyle w:val="17"/>
          <w:rFonts w:hint="eastAsia" w:ascii="仿宋_GB2312" w:hAnsi="仿宋_GB2312" w:eastAsia="仿宋_GB2312" w:cs="仿宋_GB2312"/>
          <w:b w:val="0"/>
          <w:bCs w:val="0"/>
          <w:color w:val="auto"/>
          <w:highlight w:val="none"/>
        </w:rPr>
        <w:t>十、</w:t>
      </w:r>
      <w:bookmarkEnd w:id="90"/>
      <w:r>
        <w:rPr>
          <w:rFonts w:hint="eastAsia" w:ascii="仿宋_GB2312" w:hAnsi="仿宋_GB2312" w:eastAsia="仿宋_GB2312" w:cs="仿宋_GB2312"/>
          <w:b w:val="0"/>
          <w:color w:val="auto"/>
          <w:highlight w:val="none"/>
        </w:rPr>
        <w:t>政</w:t>
      </w:r>
      <w:r>
        <w:rPr>
          <w:rStyle w:val="17"/>
          <w:rFonts w:hint="eastAsia" w:ascii="仿宋_GB2312" w:hAnsi="仿宋_GB2312" w:eastAsia="仿宋_GB2312" w:cs="仿宋_GB2312"/>
          <w:b w:val="0"/>
          <w:bCs w:val="0"/>
          <w:color w:val="auto"/>
          <w:highlight w:val="none"/>
        </w:rPr>
        <w:t>府性基金预算财政拨款收入支出决算表</w:t>
      </w:r>
      <w:bookmarkEnd w:id="91"/>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92" w:name="_Toc15396629"/>
      <w:bookmarkStart w:id="93" w:name="_Toc16942"/>
      <w:r>
        <w:rPr>
          <w:rStyle w:val="17"/>
          <w:rFonts w:hint="eastAsia" w:ascii="仿宋_GB2312" w:hAnsi="仿宋_GB2312" w:eastAsia="仿宋_GB2312" w:cs="仿宋_GB2312"/>
          <w:b w:val="0"/>
          <w:bCs w:val="0"/>
          <w:color w:val="auto"/>
          <w:highlight w:val="none"/>
        </w:rPr>
        <w:t>十一、</w:t>
      </w:r>
      <w:bookmarkEnd w:id="92"/>
      <w:r>
        <w:rPr>
          <w:rFonts w:hint="eastAsia" w:ascii="仿宋_GB2312" w:hAnsi="仿宋_GB2312" w:eastAsia="仿宋_GB2312" w:cs="仿宋_GB2312"/>
          <w:b w:val="0"/>
          <w:color w:val="auto"/>
          <w:highlight w:val="none"/>
        </w:rPr>
        <w:t>国</w:t>
      </w:r>
      <w:r>
        <w:rPr>
          <w:rStyle w:val="17"/>
          <w:rFonts w:hint="eastAsia" w:ascii="仿宋_GB2312" w:hAnsi="仿宋_GB2312" w:eastAsia="仿宋_GB2312" w:cs="仿宋_GB2312"/>
          <w:b w:val="0"/>
          <w:bCs w:val="0"/>
          <w:color w:val="auto"/>
          <w:highlight w:val="none"/>
        </w:rPr>
        <w:t>有资本经营预算</w:t>
      </w:r>
      <w:r>
        <w:rPr>
          <w:rStyle w:val="17"/>
          <w:rFonts w:hint="eastAsia" w:ascii="仿宋_GB2312" w:hAnsi="仿宋_GB2312" w:eastAsia="仿宋_GB2312" w:cs="仿宋_GB2312"/>
          <w:b w:val="0"/>
          <w:bCs w:val="0"/>
          <w:color w:val="auto"/>
          <w:highlight w:val="none"/>
          <w:lang w:eastAsia="zh-CN"/>
        </w:rPr>
        <w:t>财政拨款收入</w:t>
      </w:r>
      <w:r>
        <w:rPr>
          <w:rStyle w:val="17"/>
          <w:rFonts w:hint="eastAsia" w:ascii="仿宋_GB2312" w:hAnsi="仿宋_GB2312" w:eastAsia="仿宋_GB2312" w:cs="仿宋_GB2312"/>
          <w:b w:val="0"/>
          <w:bCs w:val="0"/>
          <w:color w:val="auto"/>
          <w:highlight w:val="none"/>
        </w:rPr>
        <w:t>支出决算表</w:t>
      </w:r>
      <w:bookmarkEnd w:id="93"/>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rPr>
      </w:pPr>
      <w:bookmarkStart w:id="94" w:name="_Toc15396630"/>
      <w:bookmarkStart w:id="95" w:name="_Toc16518"/>
      <w:r>
        <w:rPr>
          <w:rStyle w:val="17"/>
          <w:rFonts w:hint="eastAsia" w:ascii="仿宋_GB2312" w:hAnsi="仿宋_GB2312" w:eastAsia="仿宋_GB2312" w:cs="仿宋_GB2312"/>
          <w:b w:val="0"/>
          <w:bCs w:val="0"/>
          <w:color w:val="auto"/>
          <w:highlight w:val="none"/>
        </w:rPr>
        <w:t>十二、</w:t>
      </w:r>
      <w:bookmarkEnd w:id="94"/>
      <w:r>
        <w:rPr>
          <w:rStyle w:val="17"/>
          <w:rFonts w:hint="eastAsia" w:ascii="仿宋_GB2312" w:hAnsi="仿宋_GB2312" w:eastAsia="仿宋_GB2312" w:cs="仿宋_GB2312"/>
          <w:b w:val="0"/>
          <w:bCs w:val="0"/>
          <w:color w:val="auto"/>
          <w:highlight w:val="none"/>
          <w:lang w:eastAsia="zh-CN"/>
        </w:rPr>
        <w:t>国有资本经营预算财政拨款支出决算表</w:t>
      </w:r>
      <w:bookmarkEnd w:id="95"/>
    </w:p>
    <w:p>
      <w:pPr>
        <w:pStyle w:val="6"/>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仿宋_GB2312" w:hAnsi="仿宋_GB2312" w:eastAsia="仿宋_GB2312" w:cs="仿宋_GB2312"/>
          <w:color w:val="auto"/>
          <w:highlight w:val="none"/>
          <w:lang w:eastAsia="zh-CN"/>
        </w:rPr>
      </w:pPr>
      <w:bookmarkStart w:id="96" w:name="_Toc15396631"/>
      <w:bookmarkStart w:id="97" w:name="_Toc10039"/>
      <w:r>
        <w:rPr>
          <w:rStyle w:val="17"/>
          <w:rFonts w:hint="eastAsia" w:ascii="仿宋_GB2312" w:hAnsi="仿宋_GB2312" w:eastAsia="仿宋_GB2312" w:cs="仿宋_GB2312"/>
          <w:b w:val="0"/>
          <w:bCs w:val="0"/>
          <w:color w:val="auto"/>
          <w:highlight w:val="none"/>
        </w:rPr>
        <w:t>十三、</w:t>
      </w:r>
      <w:bookmarkEnd w:id="96"/>
      <w:r>
        <w:rPr>
          <w:rStyle w:val="17"/>
          <w:rFonts w:hint="eastAsia" w:ascii="仿宋_GB2312" w:hAnsi="仿宋_GB2312" w:eastAsia="仿宋_GB2312" w:cs="仿宋_GB2312"/>
          <w:b w:val="0"/>
          <w:bCs w:val="0"/>
          <w:color w:val="auto"/>
          <w:highlight w:val="none"/>
          <w:lang w:eastAsia="zh-CN"/>
        </w:rPr>
        <w:t>财政拨款“三公”经费支出决算表</w:t>
      </w:r>
      <w:bookmarkEnd w:id="97"/>
    </w:p>
    <w:p>
      <w:pPr>
        <w:rPr>
          <w:rFonts w:hint="eastAsia" w:ascii="仿宋_GB2312" w:hAnsi="仿宋_GB2312" w:eastAsia="仿宋_GB2312" w:cs="仿宋_GB2312"/>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0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9"/>
          <w:jc w:val="center"/>
        </w:pPr>
        <w:r>
          <w:fldChar w:fldCharType="begin"/>
        </w:r>
        <w:r>
          <w:instrText xml:space="preserve">PAGE   \* MERGEFORMAT</w:instrText>
        </w:r>
        <w:r>
          <w:fldChar w:fldCharType="separate"/>
        </w:r>
        <w:r>
          <w:rPr>
            <w:lang w:val="zh-CN"/>
          </w:rPr>
          <w:t>8</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D24DD8"/>
    <w:multiLevelType w:val="singleLevel"/>
    <w:tmpl w:val="C7D24DD8"/>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E65DDC3B"/>
    <w:multiLevelType w:val="singleLevel"/>
    <w:tmpl w:val="E65DDC3B"/>
    <w:lvl w:ilvl="0" w:tentative="0">
      <w:start w:val="1"/>
      <w:numFmt w:val="chineseCounting"/>
      <w:suff w:val="space"/>
      <w:lvlText w:val="第%1部分"/>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ZTcyZjA2MDU4NTU0OGEyYzQ3ZDViNWJmMTlkODIifQ=="/>
  </w:docVars>
  <w:rsids>
    <w:rsidRoot w:val="00000000"/>
    <w:rsid w:val="00CD4B47"/>
    <w:rsid w:val="02C1531D"/>
    <w:rsid w:val="02CD1EB9"/>
    <w:rsid w:val="037C654F"/>
    <w:rsid w:val="038858BF"/>
    <w:rsid w:val="041C1105"/>
    <w:rsid w:val="042D1864"/>
    <w:rsid w:val="04A97CDD"/>
    <w:rsid w:val="04C67FD9"/>
    <w:rsid w:val="04F000FE"/>
    <w:rsid w:val="053A2208"/>
    <w:rsid w:val="05A27F69"/>
    <w:rsid w:val="05FC5832"/>
    <w:rsid w:val="06296F5A"/>
    <w:rsid w:val="075953F6"/>
    <w:rsid w:val="08B54685"/>
    <w:rsid w:val="094866B7"/>
    <w:rsid w:val="0B9248ED"/>
    <w:rsid w:val="0CF65531"/>
    <w:rsid w:val="0DEC4C8D"/>
    <w:rsid w:val="0EDC11FC"/>
    <w:rsid w:val="10C612D2"/>
    <w:rsid w:val="12E2234C"/>
    <w:rsid w:val="130B4914"/>
    <w:rsid w:val="132318A3"/>
    <w:rsid w:val="13646181"/>
    <w:rsid w:val="1366263D"/>
    <w:rsid w:val="14894E86"/>
    <w:rsid w:val="152A67F2"/>
    <w:rsid w:val="158614F7"/>
    <w:rsid w:val="16F22CE1"/>
    <w:rsid w:val="17006A3C"/>
    <w:rsid w:val="17B43302"/>
    <w:rsid w:val="18946877"/>
    <w:rsid w:val="195C694A"/>
    <w:rsid w:val="19A33839"/>
    <w:rsid w:val="1AA63665"/>
    <w:rsid w:val="1C381111"/>
    <w:rsid w:val="1C426A1F"/>
    <w:rsid w:val="1C426F57"/>
    <w:rsid w:val="1C6B540C"/>
    <w:rsid w:val="1CBD3A2C"/>
    <w:rsid w:val="1CDB595D"/>
    <w:rsid w:val="1CEF6019"/>
    <w:rsid w:val="1D3119EA"/>
    <w:rsid w:val="1D463F04"/>
    <w:rsid w:val="1D525A95"/>
    <w:rsid w:val="1DE94BE6"/>
    <w:rsid w:val="1DF046CC"/>
    <w:rsid w:val="1EDF37D1"/>
    <w:rsid w:val="1F2714F7"/>
    <w:rsid w:val="1F4E188E"/>
    <w:rsid w:val="1FA07265"/>
    <w:rsid w:val="20171B4A"/>
    <w:rsid w:val="22BE4B0E"/>
    <w:rsid w:val="2369320B"/>
    <w:rsid w:val="246601B1"/>
    <w:rsid w:val="24EC5CF3"/>
    <w:rsid w:val="269171A1"/>
    <w:rsid w:val="2753644F"/>
    <w:rsid w:val="275474A2"/>
    <w:rsid w:val="27660170"/>
    <w:rsid w:val="27D332E3"/>
    <w:rsid w:val="281D1352"/>
    <w:rsid w:val="28F2728C"/>
    <w:rsid w:val="29852B45"/>
    <w:rsid w:val="2B5011C2"/>
    <w:rsid w:val="2BCC6B16"/>
    <w:rsid w:val="2C185706"/>
    <w:rsid w:val="2EBDD750"/>
    <w:rsid w:val="304651EB"/>
    <w:rsid w:val="30804A7D"/>
    <w:rsid w:val="30C26DC6"/>
    <w:rsid w:val="31481606"/>
    <w:rsid w:val="32A340DB"/>
    <w:rsid w:val="336D38E8"/>
    <w:rsid w:val="35BF6BEA"/>
    <w:rsid w:val="36056DA4"/>
    <w:rsid w:val="36B5184B"/>
    <w:rsid w:val="37647ACA"/>
    <w:rsid w:val="379E1A49"/>
    <w:rsid w:val="37AA0FAE"/>
    <w:rsid w:val="396C0537"/>
    <w:rsid w:val="39FD6407"/>
    <w:rsid w:val="3A806203"/>
    <w:rsid w:val="3ABF1EF0"/>
    <w:rsid w:val="3B453781"/>
    <w:rsid w:val="3BC36298"/>
    <w:rsid w:val="3BFF30D7"/>
    <w:rsid w:val="3C18508F"/>
    <w:rsid w:val="3D3608BC"/>
    <w:rsid w:val="3D3A54CE"/>
    <w:rsid w:val="3E7E94D5"/>
    <w:rsid w:val="3E7F172B"/>
    <w:rsid w:val="3F464CC8"/>
    <w:rsid w:val="3FBE677B"/>
    <w:rsid w:val="412B740B"/>
    <w:rsid w:val="417266D6"/>
    <w:rsid w:val="41D47D11"/>
    <w:rsid w:val="424B10FB"/>
    <w:rsid w:val="43EB3490"/>
    <w:rsid w:val="44037E23"/>
    <w:rsid w:val="454428B0"/>
    <w:rsid w:val="467D6042"/>
    <w:rsid w:val="487E6AFE"/>
    <w:rsid w:val="494E4569"/>
    <w:rsid w:val="49D210DA"/>
    <w:rsid w:val="4B01569E"/>
    <w:rsid w:val="4DEB0CDC"/>
    <w:rsid w:val="4E3F574B"/>
    <w:rsid w:val="4E791AB3"/>
    <w:rsid w:val="4F0C0F09"/>
    <w:rsid w:val="4F9E7ABA"/>
    <w:rsid w:val="4FDA0288"/>
    <w:rsid w:val="4FF3A55D"/>
    <w:rsid w:val="4FF7BD45"/>
    <w:rsid w:val="500C04B4"/>
    <w:rsid w:val="506756CF"/>
    <w:rsid w:val="51425B44"/>
    <w:rsid w:val="514925F5"/>
    <w:rsid w:val="51EB2659"/>
    <w:rsid w:val="522E6C4E"/>
    <w:rsid w:val="528B0B24"/>
    <w:rsid w:val="55D44BDC"/>
    <w:rsid w:val="55DD6EED"/>
    <w:rsid w:val="55E16B3B"/>
    <w:rsid w:val="57391CAB"/>
    <w:rsid w:val="573F2C60"/>
    <w:rsid w:val="57A44D16"/>
    <w:rsid w:val="57BD248A"/>
    <w:rsid w:val="59D55467"/>
    <w:rsid w:val="5AA76314"/>
    <w:rsid w:val="5ABA16B1"/>
    <w:rsid w:val="5B2E39B3"/>
    <w:rsid w:val="5C1E60A9"/>
    <w:rsid w:val="5C564EF7"/>
    <w:rsid w:val="5C97460A"/>
    <w:rsid w:val="5CAA5BCC"/>
    <w:rsid w:val="5CDA73A2"/>
    <w:rsid w:val="5D3B4897"/>
    <w:rsid w:val="5E6A19EC"/>
    <w:rsid w:val="5F557DD2"/>
    <w:rsid w:val="5F93764C"/>
    <w:rsid w:val="5FDC6467"/>
    <w:rsid w:val="62A55E0B"/>
    <w:rsid w:val="63621E3A"/>
    <w:rsid w:val="64F7320D"/>
    <w:rsid w:val="663A5D08"/>
    <w:rsid w:val="67EF749B"/>
    <w:rsid w:val="6B8F9021"/>
    <w:rsid w:val="6CDB7147"/>
    <w:rsid w:val="6CEB5F3B"/>
    <w:rsid w:val="6D9F7A28"/>
    <w:rsid w:val="6DDFA094"/>
    <w:rsid w:val="6DF50ED3"/>
    <w:rsid w:val="6E307D0A"/>
    <w:rsid w:val="6F7E2128"/>
    <w:rsid w:val="6FB53043"/>
    <w:rsid w:val="73580330"/>
    <w:rsid w:val="73F46318"/>
    <w:rsid w:val="74310BB4"/>
    <w:rsid w:val="745C0614"/>
    <w:rsid w:val="746B20BF"/>
    <w:rsid w:val="75503275"/>
    <w:rsid w:val="756F5681"/>
    <w:rsid w:val="75A86FB7"/>
    <w:rsid w:val="767448EA"/>
    <w:rsid w:val="7717641B"/>
    <w:rsid w:val="771C2914"/>
    <w:rsid w:val="777DC4FC"/>
    <w:rsid w:val="77EB455A"/>
    <w:rsid w:val="78127C13"/>
    <w:rsid w:val="78E14106"/>
    <w:rsid w:val="79507674"/>
    <w:rsid w:val="7963794F"/>
    <w:rsid w:val="79BFDD1A"/>
    <w:rsid w:val="7B665FDB"/>
    <w:rsid w:val="7BED7730"/>
    <w:rsid w:val="7C031780"/>
    <w:rsid w:val="7C763EFB"/>
    <w:rsid w:val="7C827C10"/>
    <w:rsid w:val="7CAE8B8D"/>
    <w:rsid w:val="7CBB1853"/>
    <w:rsid w:val="7E65500A"/>
    <w:rsid w:val="7EDB34D1"/>
    <w:rsid w:val="7FBB7EA2"/>
    <w:rsid w:val="7FE55BC1"/>
    <w:rsid w:val="9FFF1242"/>
    <w:rsid w:val="AFFFED29"/>
    <w:rsid w:val="B6FDF5F8"/>
    <w:rsid w:val="B7BE2822"/>
    <w:rsid w:val="BF7FBEE0"/>
    <w:rsid w:val="DB5E4F96"/>
    <w:rsid w:val="DFEFE2CB"/>
    <w:rsid w:val="EFDDDE31"/>
    <w:rsid w:val="FF771868"/>
    <w:rsid w:val="FFEF3BF7"/>
    <w:rsid w:val="FFF70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widowControl w:val="0"/>
      <w:spacing w:line="580" w:lineRule="exact"/>
      <w:ind w:firstLine="420" w:firstLineChars="200"/>
      <w:jc w:val="both"/>
    </w:pPr>
    <w:rPr>
      <w:rFonts w:ascii="Calibri" w:hAnsi="Calibri" w:eastAsia="仿宋_GB2312" w:cs="Times New Roman"/>
      <w:kern w:val="2"/>
      <w:sz w:val="32"/>
      <w:szCs w:val="22"/>
      <w:lang w:val="en-US" w:eastAsia="zh-CN" w:bidi="ar-SA"/>
    </w:rPr>
  </w:style>
  <w:style w:type="paragraph" w:styleId="4">
    <w:name w:val="Body Text Indent"/>
    <w:basedOn w:val="1"/>
    <w:next w:val="3"/>
    <w:qFormat/>
    <w:uiPriority w:val="0"/>
    <w:pPr>
      <w:widowControl/>
      <w:adjustRightInd w:val="0"/>
      <w:snapToGrid w:val="0"/>
      <w:spacing w:line="360" w:lineRule="atLeast"/>
      <w:ind w:firstLine="538" w:firstLineChars="168"/>
      <w:jc w:val="center"/>
    </w:pPr>
    <w:rPr>
      <w:rFonts w:ascii="Tahoma" w:hAnsi="Tahoma" w:eastAsia="微软雅黑"/>
      <w:kern w:val="0"/>
      <w:sz w:val="32"/>
    </w:rPr>
  </w:style>
  <w:style w:type="paragraph" w:styleId="7">
    <w:name w:val="Normal Indent"/>
    <w:basedOn w:val="1"/>
    <w:semiHidden/>
    <w:qFormat/>
    <w:uiPriority w:val="0"/>
    <w:pPr>
      <w:ind w:firstLine="880" w:firstLineChars="200"/>
    </w:pPr>
  </w:style>
  <w:style w:type="paragraph" w:styleId="8">
    <w:name w:val="Body Text"/>
    <w:basedOn w:val="1"/>
    <w:qFormat/>
    <w:uiPriority w:val="99"/>
    <w:pPr>
      <w:spacing w:beforeLines="30"/>
    </w:pPr>
    <w:rPr>
      <w:rFonts w:ascii="仿宋_GB2312" w:eastAsia="仿宋_GB2312"/>
      <w:kern w:val="0"/>
      <w:sz w:val="30"/>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customStyle="1" w:styleId="16">
    <w:name w:val="标题 1 Char"/>
    <w:basedOn w:val="14"/>
    <w:link w:val="5"/>
    <w:qFormat/>
    <w:uiPriority w:val="9"/>
    <w:rPr>
      <w:b/>
      <w:bCs/>
      <w:kern w:val="44"/>
      <w:sz w:val="44"/>
      <w:szCs w:val="44"/>
    </w:rPr>
  </w:style>
  <w:style w:type="character" w:customStyle="1" w:styleId="17">
    <w:name w:val="标题 2 Char"/>
    <w:basedOn w:val="14"/>
    <w:link w:val="6"/>
    <w:qFormat/>
    <w:uiPriority w:val="9"/>
    <w:rPr>
      <w:rFonts w:asciiTheme="majorHAnsi" w:hAnsiTheme="majorHAnsi" w:eastAsiaTheme="majorEastAsia" w:cstheme="majorBidi"/>
      <w:b/>
      <w:bCs/>
      <w:sz w:val="32"/>
      <w:szCs w:val="32"/>
    </w:rPr>
  </w:style>
  <w:style w:type="paragraph" w:styleId="18">
    <w:name w:val="List Paragraph"/>
    <w:basedOn w:val="1"/>
    <w:qFormat/>
    <w:uiPriority w:val="34"/>
    <w:pPr>
      <w:ind w:firstLine="420" w:firstLineChars="200"/>
    </w:p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1</a:t>
            </a:r>
            <a:r>
              <a:rPr altLang="en-US"/>
              <a:t>：收、支决算总计变动情况图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2024年收入合计</c:v>
                </c:pt>
                <c:pt idx="1">
                  <c:v>2025年收入合计</c:v>
                </c:pt>
                <c:pt idx="2">
                  <c:v>2024年支出合计</c:v>
                </c:pt>
                <c:pt idx="3">
                  <c:v>2025年支出合计</c:v>
                </c:pt>
              </c:strCache>
            </c:strRef>
          </c:cat>
          <c:val>
            <c:numRef>
              <c:f>Sheet1!$B$2:$B$5</c:f>
              <c:numCache>
                <c:formatCode>General</c:formatCode>
                <c:ptCount val="4"/>
                <c:pt idx="0">
                  <c:v>5006.46</c:v>
                </c:pt>
                <c:pt idx="1">
                  <c:v>10588.69</c:v>
                </c:pt>
                <c:pt idx="2">
                  <c:v>4735.72</c:v>
                </c:pt>
                <c:pt idx="3">
                  <c:v>10859.42</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2024年收入合计</c:v>
                </c:pt>
                <c:pt idx="1">
                  <c:v>2025年收入合计</c:v>
                </c:pt>
                <c:pt idx="2">
                  <c:v>2024年支出合计</c:v>
                </c:pt>
                <c:pt idx="3">
                  <c:v>2025年支出合计</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2024年收入合计</c:v>
                </c:pt>
                <c:pt idx="1">
                  <c:v>2025年收入合计</c:v>
                </c:pt>
                <c:pt idx="2">
                  <c:v>2024年支出合计</c:v>
                </c:pt>
                <c:pt idx="3">
                  <c:v>2025年支出合计</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201110668"/>
        <c:axId val="929481017"/>
      </c:barChart>
      <c:catAx>
        <c:axId val="2011106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481017"/>
        <c:crosses val="autoZero"/>
        <c:auto val="1"/>
        <c:lblAlgn val="ctr"/>
        <c:lblOffset val="100"/>
        <c:noMultiLvlLbl val="0"/>
      </c:catAx>
      <c:valAx>
        <c:axId val="929481017"/>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1106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2</a:t>
            </a:r>
            <a:r>
              <a:t>：收入决算结构图</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事业收入</c:v>
                </c:pt>
                <c:pt idx="2">
                  <c:v>其他收入</c:v>
                </c:pt>
              </c:strCache>
            </c:strRef>
          </c:cat>
          <c:val>
            <c:numRef>
              <c:f>Sheet1!$B$2:$B$4</c:f>
              <c:numCache>
                <c:formatCode>General</c:formatCode>
                <c:ptCount val="3"/>
                <c:pt idx="0">
                  <c:v>642.75</c:v>
                </c:pt>
                <c:pt idx="1">
                  <c:v>3615.26</c:v>
                </c:pt>
                <c:pt idx="2">
                  <c:v>6330.68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3</a:t>
            </a:r>
            <a:r>
              <a:rPr altLang="en-US"/>
              <a:t>：支出决算结构图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4377.01</c:v>
                </c:pt>
                <c:pt idx="1">
                  <c:v>6482.41</c:v>
                </c:pt>
              </c:numCache>
            </c:numRef>
          </c:val>
        </c:ser>
        <c:dLbls>
          <c:showLegendKey val="0"/>
          <c:showVal val="1"/>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4</a:t>
            </a:r>
            <a:r>
              <a:rPr altLang="en-US"/>
              <a:t>：财政拨款收、支决算总计变动情况</a:t>
            </a:r>
            <a:endParaRPr altLang="en-US"/>
          </a:p>
        </c:rich>
      </c:tx>
      <c:layout/>
      <c:overlay val="0"/>
      <c:spPr>
        <a:noFill/>
        <a:ln>
          <a:noFill/>
        </a:ln>
        <a:effectLst/>
      </c:spPr>
    </c:title>
    <c:autoTitleDeleted val="0"/>
    <c:plotArea>
      <c:layout>
        <c:manualLayout>
          <c:layoutTarget val="inner"/>
          <c:xMode val="edge"/>
          <c:yMode val="edge"/>
          <c:x val="0.0902219307631242"/>
          <c:y val="0.152996175095623"/>
          <c:w val="0.877644703689642"/>
          <c:h val="0.44398640033999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2024年财政拨款收入合计</c:v>
                </c:pt>
                <c:pt idx="1">
                  <c:v>2025年财政拨款收入合计</c:v>
                </c:pt>
                <c:pt idx="2">
                  <c:v>2024年财政拨款支出合计</c:v>
                </c:pt>
                <c:pt idx="3">
                  <c:v>2025年财政拨款支出合计</c:v>
                </c:pt>
              </c:strCache>
            </c:strRef>
          </c:cat>
          <c:val>
            <c:numRef>
              <c:f>Sheet1!$B$2:$B$5</c:f>
              <c:numCache>
                <c:formatCode>General</c:formatCode>
                <c:ptCount val="4"/>
                <c:pt idx="0">
                  <c:v>375.06</c:v>
                </c:pt>
                <c:pt idx="1">
                  <c:v>642.75</c:v>
                </c:pt>
                <c:pt idx="2">
                  <c:v>375.06</c:v>
                </c:pt>
                <c:pt idx="3">
                  <c:v>642.75</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Sheet1!$A$2:$A$5</c:f>
              <c:strCache>
                <c:ptCount val="4"/>
                <c:pt idx="0">
                  <c:v>2024年财政拨款收入合计</c:v>
                </c:pt>
                <c:pt idx="1">
                  <c:v>2025年财政拨款收入合计</c:v>
                </c:pt>
                <c:pt idx="2">
                  <c:v>2024年财政拨款支出合计</c:v>
                </c:pt>
                <c:pt idx="3">
                  <c:v>2025年财政拨款支出合计</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2024年财政拨款收入合计</c:v>
                </c:pt>
                <c:pt idx="1">
                  <c:v>2025年财政拨款收入合计</c:v>
                </c:pt>
                <c:pt idx="2">
                  <c:v>2024年财政拨款支出合计</c:v>
                </c:pt>
                <c:pt idx="3">
                  <c:v>2025年财政拨款支出合计</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801341197"/>
        <c:axId val="164843716"/>
      </c:barChart>
      <c:catAx>
        <c:axId val="80134119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843716"/>
        <c:crosses val="autoZero"/>
        <c:auto val="1"/>
        <c:lblAlgn val="ctr"/>
        <c:lblOffset val="100"/>
        <c:noMultiLvlLbl val="0"/>
      </c:catAx>
      <c:valAx>
        <c:axId val="16484371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34119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5</a:t>
            </a:r>
            <a:r>
              <a:rPr altLang="en-US"/>
              <a:t>：一般公共预算财政拨款支出决算变动情况</a:t>
            </a:r>
            <a:endParaRPr altLang="en-US"/>
          </a:p>
        </c:rich>
      </c:tx>
      <c:layout/>
      <c:overlay val="0"/>
      <c:spPr>
        <a:noFill/>
        <a:ln>
          <a:noFill/>
        </a:ln>
        <a:effectLst/>
      </c:spPr>
    </c:title>
    <c:autoTitleDeleted val="0"/>
    <c:plotArea>
      <c:layout>
        <c:manualLayout>
          <c:layoutTarget val="inner"/>
          <c:xMode val="edge"/>
          <c:yMode val="edge"/>
          <c:x val="0.0718289441894177"/>
          <c:y val="0.116022099447513"/>
          <c:w val="0.89736651365064"/>
          <c:h val="0.734679133021674"/>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2024年一般公共预算财政拨款支出</c:v>
                </c:pt>
                <c:pt idx="1">
                  <c:v>2025年一般公共预算财政拨款支出</c:v>
                </c:pt>
              </c:strCache>
            </c:strRef>
          </c:cat>
          <c:val>
            <c:numRef>
              <c:f>Sheet1!$B$2:$B$3</c:f>
              <c:numCache>
                <c:formatCode>General</c:formatCode>
                <c:ptCount val="2"/>
                <c:pt idx="0">
                  <c:v>375.06</c:v>
                </c:pt>
                <c:pt idx="1">
                  <c:v>642.75</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2024年一般公共预算财政拨款支出</c:v>
                </c:pt>
                <c:pt idx="1">
                  <c:v>2025年一般公共预算财政拨款支出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2024年一般公共预算财政拨款支出</c:v>
                </c:pt>
                <c:pt idx="1">
                  <c:v>2025年一般公共预算财政拨款支出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25254799"/>
        <c:axId val="817813263"/>
      </c:barChart>
      <c:catAx>
        <c:axId val="252547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813263"/>
        <c:crosses val="autoZero"/>
        <c:auto val="1"/>
        <c:lblAlgn val="ctr"/>
        <c:lblOffset val="100"/>
        <c:noMultiLvlLbl val="0"/>
      </c:catAx>
      <c:valAx>
        <c:axId val="817813263"/>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547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a:t>
            </a:r>
            <a:r>
              <a:rPr lang="en-US" altLang="zh-CN"/>
              <a:t>6</a:t>
            </a:r>
            <a:r>
              <a:rPr altLang="en-US"/>
              <a:t>：一般公共预算财政拨款支出决算结构</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社会保障和就业支出</c:v>
                </c:pt>
                <c:pt idx="1">
                  <c:v>卫生健康支出</c:v>
                </c:pt>
              </c:strCache>
            </c:strRef>
          </c:cat>
          <c:val>
            <c:numRef>
              <c:f>Sheet1!$B$2:$B$3</c:f>
              <c:numCache>
                <c:formatCode>General</c:formatCode>
                <c:ptCount val="2"/>
                <c:pt idx="0">
                  <c:v>91.33</c:v>
                </c:pt>
                <c:pt idx="1">
                  <c:v>551.42</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306414592896835"/>
          <c:y val="0.9228644283892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2FCF1"/>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14697</Words>
  <Characters>17311</Characters>
  <Lines>0</Lines>
  <Paragraphs>0</Paragraphs>
  <TotalTime>5</TotalTime>
  <ScaleCrop>false</ScaleCrop>
  <LinksUpToDate>false</LinksUpToDate>
  <CharactersWithSpaces>17452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2023-10-23T17:21:00Z</dcterms:created>
  <dc:creator>Administrator</dc:creator>
  <cp:lastModifiedBy>蝴蝶蓝</cp:lastModifiedBy>
  <dcterms:modified xsi:type="dcterms:W3CDTF">2026-10-16T02:18:03Z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5AC77A1734F14639AF53BFFAF4BDBC50_13</vt:lpwstr>
  </property>
</Properties>
</file>